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EC9FD" w14:textId="56E04DBF" w:rsidR="00FB36C5" w:rsidRPr="00405ECB" w:rsidRDefault="0042655A" w:rsidP="00405ECB">
      <w:pPr>
        <w:spacing w:after="0" w:line="276" w:lineRule="auto"/>
        <w:ind w:right="2697"/>
        <w:jc w:val="both"/>
        <w:rPr>
          <w:rFonts w:asciiTheme="majorHAnsi" w:hAnsiTheme="majorHAnsi" w:cstheme="majorHAnsi"/>
          <w:b/>
          <w:sz w:val="24"/>
          <w:szCs w:val="24"/>
        </w:rPr>
      </w:pPr>
      <w:r w:rsidRPr="00405ECB">
        <w:rPr>
          <w:rFonts w:asciiTheme="majorHAnsi" w:hAnsiTheme="majorHAnsi" w:cstheme="majorHAnsi"/>
          <w:b/>
          <w:sz w:val="24"/>
          <w:szCs w:val="24"/>
        </w:rPr>
        <w:t>Volume 2, No. 1</w:t>
      </w:r>
      <w:r w:rsidR="00093B46" w:rsidRPr="00405ECB">
        <w:rPr>
          <w:rFonts w:asciiTheme="majorHAnsi" w:hAnsiTheme="majorHAnsi" w:cstheme="majorHAnsi"/>
          <w:b/>
          <w:sz w:val="24"/>
          <w:szCs w:val="24"/>
        </w:rPr>
        <w:t>1</w:t>
      </w:r>
      <w:r w:rsidRPr="00405ECB">
        <w:rPr>
          <w:rFonts w:asciiTheme="majorHAnsi" w:hAnsiTheme="majorHAnsi" w:cstheme="majorHAnsi"/>
          <w:b/>
          <w:sz w:val="24"/>
          <w:szCs w:val="24"/>
        </w:rPr>
        <w:t xml:space="preserve"> </w:t>
      </w:r>
      <w:r w:rsidR="00093B46" w:rsidRPr="00405ECB">
        <w:rPr>
          <w:rFonts w:asciiTheme="majorHAnsi" w:hAnsiTheme="majorHAnsi" w:cstheme="majorHAnsi"/>
          <w:b/>
          <w:sz w:val="24"/>
          <w:szCs w:val="24"/>
        </w:rPr>
        <w:t xml:space="preserve">November </w:t>
      </w:r>
      <w:r w:rsidRPr="00405ECB">
        <w:rPr>
          <w:rFonts w:asciiTheme="majorHAnsi" w:hAnsiTheme="majorHAnsi" w:cstheme="majorHAnsi"/>
          <w:b/>
          <w:sz w:val="24"/>
          <w:szCs w:val="24"/>
        </w:rPr>
        <w:t>2023 - (</w:t>
      </w:r>
      <w:r w:rsidR="00524DE3">
        <w:rPr>
          <w:rFonts w:asciiTheme="majorHAnsi" w:hAnsiTheme="majorHAnsi" w:cstheme="majorHAnsi"/>
          <w:b/>
          <w:sz w:val="24"/>
          <w:szCs w:val="24"/>
        </w:rPr>
        <w:t>1334</w:t>
      </w:r>
      <w:r w:rsidRPr="00405ECB">
        <w:rPr>
          <w:rFonts w:asciiTheme="majorHAnsi" w:hAnsiTheme="majorHAnsi" w:cstheme="majorHAnsi"/>
          <w:b/>
          <w:sz w:val="24"/>
          <w:szCs w:val="24"/>
        </w:rPr>
        <w:t>-</w:t>
      </w:r>
      <w:r w:rsidR="00524DE3">
        <w:rPr>
          <w:rFonts w:asciiTheme="majorHAnsi" w:hAnsiTheme="majorHAnsi" w:cstheme="majorHAnsi"/>
          <w:b/>
          <w:sz w:val="24"/>
          <w:szCs w:val="24"/>
        </w:rPr>
        <w:t>1345</w:t>
      </w:r>
      <w:r w:rsidRPr="00405ECB">
        <w:rPr>
          <w:rFonts w:asciiTheme="majorHAnsi" w:hAnsiTheme="majorHAnsi" w:cstheme="majorHAnsi"/>
          <w:b/>
          <w:sz w:val="24"/>
          <w:szCs w:val="24"/>
        </w:rPr>
        <w:t>)</w:t>
      </w:r>
      <w:r w:rsidRPr="00405ECB">
        <w:rPr>
          <w:rFonts w:asciiTheme="majorHAnsi" w:hAnsiTheme="majorHAnsi" w:cstheme="majorHAnsi"/>
          <w:noProof/>
          <w:sz w:val="24"/>
          <w:szCs w:val="24"/>
        </w:rPr>
        <w:drawing>
          <wp:anchor distT="0" distB="0" distL="0" distR="0" simplePos="0" relativeHeight="251657216" behindDoc="1" locked="0" layoutInCell="1" hidden="0" allowOverlap="1" wp14:anchorId="123E85D7" wp14:editId="03A15529">
            <wp:simplePos x="0" y="0"/>
            <wp:positionH relativeFrom="column">
              <wp:posOffset>-967104</wp:posOffset>
            </wp:positionH>
            <wp:positionV relativeFrom="paragraph">
              <wp:posOffset>-627379</wp:posOffset>
            </wp:positionV>
            <wp:extent cx="7939405" cy="42291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939405" cy="422910"/>
                    </a:xfrm>
                    <a:prstGeom prst="rect">
                      <a:avLst/>
                    </a:prstGeom>
                    <a:ln/>
                  </pic:spPr>
                </pic:pic>
              </a:graphicData>
            </a:graphic>
          </wp:anchor>
        </w:drawing>
      </w:r>
      <w:r w:rsidRPr="00405ECB">
        <w:rPr>
          <w:rFonts w:asciiTheme="majorHAnsi" w:hAnsiTheme="majorHAnsi" w:cstheme="majorHAnsi"/>
          <w:noProof/>
          <w:sz w:val="24"/>
          <w:szCs w:val="24"/>
        </w:rPr>
        <w:drawing>
          <wp:anchor distT="0" distB="0" distL="114300" distR="114300" simplePos="0" relativeHeight="251658240" behindDoc="0" locked="0" layoutInCell="1" hidden="0" allowOverlap="1" wp14:anchorId="5F4CC761" wp14:editId="1F89CB00">
            <wp:simplePos x="0" y="0"/>
            <wp:positionH relativeFrom="column">
              <wp:posOffset>3985895</wp:posOffset>
            </wp:positionH>
            <wp:positionV relativeFrom="paragraph">
              <wp:posOffset>-40639</wp:posOffset>
            </wp:positionV>
            <wp:extent cx="1912620" cy="58229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12620" cy="582295"/>
                    </a:xfrm>
                    <a:prstGeom prst="rect">
                      <a:avLst/>
                    </a:prstGeom>
                    <a:ln/>
                  </pic:spPr>
                </pic:pic>
              </a:graphicData>
            </a:graphic>
          </wp:anchor>
        </w:drawing>
      </w:r>
    </w:p>
    <w:p w14:paraId="0627D6C4" w14:textId="77777777" w:rsidR="00FB36C5" w:rsidRPr="00405ECB" w:rsidRDefault="0042655A" w:rsidP="00405ECB">
      <w:pPr>
        <w:spacing w:after="0" w:line="276" w:lineRule="auto"/>
        <w:ind w:right="2697"/>
        <w:jc w:val="both"/>
        <w:rPr>
          <w:rFonts w:asciiTheme="majorHAnsi" w:hAnsiTheme="majorHAnsi" w:cstheme="majorHAnsi"/>
          <w:sz w:val="24"/>
          <w:szCs w:val="24"/>
        </w:rPr>
      </w:pPr>
      <w:r w:rsidRPr="00405ECB">
        <w:rPr>
          <w:rFonts w:asciiTheme="majorHAnsi" w:hAnsiTheme="majorHAnsi" w:cstheme="majorHAnsi"/>
          <w:sz w:val="24"/>
          <w:szCs w:val="24"/>
        </w:rPr>
        <w:t>p-ISSN 2980-4868 | e-ISSN 2980-4841</w:t>
      </w:r>
    </w:p>
    <w:p w14:paraId="4166C73D" w14:textId="2264177D" w:rsidR="00FB36C5" w:rsidRPr="00405ECB" w:rsidRDefault="0042655A" w:rsidP="00405ECB">
      <w:pPr>
        <w:spacing w:after="0" w:line="276" w:lineRule="auto"/>
        <w:jc w:val="both"/>
        <w:rPr>
          <w:rFonts w:asciiTheme="majorHAnsi" w:hAnsiTheme="majorHAnsi" w:cstheme="majorHAnsi"/>
          <w:b/>
          <w:sz w:val="24"/>
          <w:szCs w:val="24"/>
        </w:rPr>
      </w:pPr>
      <w:r w:rsidRPr="00405ECB">
        <w:rPr>
          <w:rFonts w:asciiTheme="majorHAnsi" w:hAnsiTheme="majorHAnsi" w:cstheme="majorHAnsi"/>
          <w:sz w:val="24"/>
          <w:szCs w:val="24"/>
        </w:rPr>
        <w:t>https://ajesh.ph/index.php/gp</w:t>
      </w:r>
      <w:r w:rsidR="009D7813">
        <w:rPr>
          <w:rFonts w:asciiTheme="majorHAnsi" w:hAnsiTheme="majorHAnsi" w:cstheme="majorHAnsi"/>
          <w:b/>
          <w:bCs/>
          <w:noProof/>
          <w:sz w:val="24"/>
          <w:szCs w:val="24"/>
        </w:rPr>
        <w:pict w14:anchorId="0D376D2D">
          <v:rect id="_x0000_i1025" style="width:468pt;height:2pt" o:hralign="center" o:hrstd="t" o:hrnoshade="t" o:hr="t" fillcolor="#4f81bd" stroked="f"/>
        </w:pict>
      </w:r>
    </w:p>
    <w:p w14:paraId="1EF6452E" w14:textId="77777777" w:rsidR="00FB36C5" w:rsidRPr="006F29A8" w:rsidRDefault="00FB36C5" w:rsidP="00405ECB">
      <w:pPr>
        <w:pBdr>
          <w:top w:val="nil"/>
          <w:left w:val="nil"/>
          <w:bottom w:val="nil"/>
          <w:right w:val="nil"/>
          <w:between w:val="nil"/>
        </w:pBdr>
        <w:spacing w:after="120" w:line="276" w:lineRule="auto"/>
        <w:jc w:val="center"/>
        <w:rPr>
          <w:rFonts w:asciiTheme="majorHAnsi" w:hAnsiTheme="majorHAnsi" w:cstheme="majorHAnsi"/>
          <w:b/>
          <w:color w:val="000000"/>
          <w:sz w:val="32"/>
          <w:szCs w:val="32"/>
        </w:rPr>
      </w:pPr>
    </w:p>
    <w:p w14:paraId="68C8BD44" w14:textId="77777777" w:rsidR="00FB36C5" w:rsidRPr="006F29A8" w:rsidRDefault="0042655A" w:rsidP="00405ECB">
      <w:pPr>
        <w:spacing w:after="0" w:line="276" w:lineRule="auto"/>
        <w:ind w:left="1" w:hanging="3"/>
        <w:jc w:val="center"/>
        <w:rPr>
          <w:rFonts w:asciiTheme="majorHAnsi" w:hAnsiTheme="majorHAnsi" w:cstheme="majorHAnsi"/>
          <w:b/>
          <w:sz w:val="32"/>
          <w:szCs w:val="32"/>
        </w:rPr>
      </w:pPr>
      <w:r w:rsidRPr="006F29A8">
        <w:rPr>
          <w:rFonts w:asciiTheme="majorHAnsi" w:hAnsiTheme="majorHAnsi" w:cstheme="majorHAnsi"/>
          <w:b/>
          <w:sz w:val="32"/>
          <w:szCs w:val="32"/>
        </w:rPr>
        <w:t>DISTRIBUTION PATTERN AND DENSITY FIGURE ON THE INCIDENT OF DHF</w:t>
      </w:r>
    </w:p>
    <w:p w14:paraId="7811C572" w14:textId="77777777" w:rsidR="00FB36C5" w:rsidRPr="00405ECB" w:rsidRDefault="00FB36C5" w:rsidP="00405ECB">
      <w:pPr>
        <w:spacing w:after="0" w:line="276" w:lineRule="auto"/>
        <w:ind w:left="1" w:hanging="3"/>
        <w:jc w:val="center"/>
        <w:rPr>
          <w:rFonts w:asciiTheme="majorHAnsi" w:hAnsiTheme="majorHAnsi" w:cstheme="majorHAnsi"/>
          <w:b/>
          <w:sz w:val="24"/>
          <w:szCs w:val="24"/>
        </w:rPr>
      </w:pPr>
    </w:p>
    <w:p w14:paraId="5CD0AE42" w14:textId="4DB42052" w:rsidR="00FB36C5" w:rsidRPr="00405ECB" w:rsidRDefault="0042655A" w:rsidP="00405ECB">
      <w:pPr>
        <w:pStyle w:val="Heading4"/>
        <w:shd w:val="clear" w:color="auto" w:fill="FFFFFF"/>
        <w:spacing w:before="0" w:line="276" w:lineRule="auto"/>
        <w:ind w:hanging="2"/>
        <w:jc w:val="center"/>
        <w:rPr>
          <w:rFonts w:asciiTheme="majorHAnsi" w:hAnsiTheme="majorHAnsi" w:cstheme="majorHAnsi"/>
          <w:b/>
          <w:i w:val="0"/>
          <w:color w:val="000000"/>
          <w:sz w:val="24"/>
          <w:szCs w:val="24"/>
        </w:rPr>
      </w:pPr>
      <w:r w:rsidRPr="00405ECB">
        <w:rPr>
          <w:rFonts w:asciiTheme="majorHAnsi" w:hAnsiTheme="majorHAnsi" w:cstheme="majorHAnsi"/>
          <w:b/>
          <w:i w:val="0"/>
          <w:color w:val="000000"/>
          <w:sz w:val="24"/>
          <w:szCs w:val="24"/>
          <w:vertAlign w:val="superscript"/>
        </w:rPr>
        <w:t>1</w:t>
      </w:r>
      <w:r w:rsidR="00AD11DF" w:rsidRPr="00405ECB">
        <w:rPr>
          <w:rFonts w:asciiTheme="majorHAnsi" w:hAnsiTheme="majorHAnsi" w:cstheme="majorHAnsi"/>
          <w:b/>
          <w:i w:val="0"/>
          <w:color w:val="000000"/>
          <w:sz w:val="24"/>
          <w:szCs w:val="24"/>
          <w:vertAlign w:val="superscript"/>
        </w:rPr>
        <w:t>*</w:t>
      </w:r>
      <w:r w:rsidRPr="00405ECB">
        <w:rPr>
          <w:rFonts w:asciiTheme="majorHAnsi" w:hAnsiTheme="majorHAnsi" w:cstheme="majorHAnsi"/>
          <w:b/>
          <w:i w:val="0"/>
          <w:color w:val="000000"/>
          <w:sz w:val="24"/>
          <w:szCs w:val="24"/>
          <w:vertAlign w:val="superscript"/>
        </w:rPr>
        <w:t xml:space="preserve"> </w:t>
      </w:r>
      <w:proofErr w:type="spellStart"/>
      <w:r w:rsidRPr="00405ECB">
        <w:rPr>
          <w:rFonts w:asciiTheme="majorHAnsi" w:hAnsiTheme="majorHAnsi" w:cstheme="majorHAnsi"/>
          <w:b/>
          <w:i w:val="0"/>
          <w:color w:val="000000"/>
          <w:sz w:val="24"/>
          <w:szCs w:val="24"/>
        </w:rPr>
        <w:t>Helfi</w:t>
      </w:r>
      <w:proofErr w:type="spellEnd"/>
      <w:r w:rsidRPr="00405ECB">
        <w:rPr>
          <w:rFonts w:asciiTheme="majorHAnsi" w:hAnsiTheme="majorHAnsi" w:cstheme="majorHAnsi"/>
          <w:b/>
          <w:i w:val="0"/>
          <w:color w:val="000000"/>
          <w:sz w:val="24"/>
          <w:szCs w:val="24"/>
        </w:rPr>
        <w:t xml:space="preserve"> Nolia,</w:t>
      </w:r>
      <w:r w:rsidRPr="00405ECB">
        <w:rPr>
          <w:rFonts w:asciiTheme="majorHAnsi" w:hAnsiTheme="majorHAnsi" w:cstheme="majorHAnsi"/>
          <w:b/>
          <w:i w:val="0"/>
          <w:color w:val="000000"/>
          <w:sz w:val="24"/>
          <w:szCs w:val="24"/>
          <w:vertAlign w:val="superscript"/>
        </w:rPr>
        <w:t xml:space="preserve">2 </w:t>
      </w:r>
      <w:proofErr w:type="spellStart"/>
      <w:r w:rsidRPr="00405ECB">
        <w:rPr>
          <w:rFonts w:asciiTheme="majorHAnsi" w:hAnsiTheme="majorHAnsi" w:cstheme="majorHAnsi"/>
          <w:b/>
          <w:i w:val="0"/>
          <w:color w:val="000000"/>
          <w:sz w:val="24"/>
          <w:szCs w:val="24"/>
        </w:rPr>
        <w:t>Risnawati</w:t>
      </w:r>
      <w:proofErr w:type="spellEnd"/>
      <w:r w:rsidRPr="00405ECB">
        <w:rPr>
          <w:rFonts w:asciiTheme="majorHAnsi" w:hAnsiTheme="majorHAnsi" w:cstheme="majorHAnsi"/>
          <w:b/>
          <w:i w:val="0"/>
          <w:color w:val="000000"/>
          <w:sz w:val="24"/>
          <w:szCs w:val="24"/>
        </w:rPr>
        <w:t xml:space="preserve"> Tanjung,</w:t>
      </w:r>
      <w:r w:rsidRPr="00405ECB">
        <w:rPr>
          <w:rFonts w:asciiTheme="majorHAnsi" w:hAnsiTheme="majorHAnsi" w:cstheme="majorHAnsi"/>
          <w:b/>
          <w:i w:val="0"/>
          <w:color w:val="000000"/>
          <w:sz w:val="24"/>
          <w:szCs w:val="24"/>
          <w:vertAlign w:val="superscript"/>
        </w:rPr>
        <w:t>3</w:t>
      </w:r>
      <w:r w:rsidRPr="00405ECB">
        <w:rPr>
          <w:rFonts w:asciiTheme="majorHAnsi" w:hAnsiTheme="majorHAnsi" w:cstheme="majorHAnsi"/>
          <w:b/>
          <w:i w:val="0"/>
          <w:color w:val="000000"/>
          <w:sz w:val="24"/>
          <w:szCs w:val="24"/>
        </w:rPr>
        <w:t>Jernita Sinaga</w:t>
      </w:r>
    </w:p>
    <w:p w14:paraId="4CB9FFF4" w14:textId="145268C3" w:rsidR="00FB36C5" w:rsidRPr="00405ECB" w:rsidRDefault="0042655A" w:rsidP="00405ECB">
      <w:pPr>
        <w:pStyle w:val="Heading4"/>
        <w:shd w:val="clear" w:color="auto" w:fill="FFFFFF"/>
        <w:spacing w:before="0" w:line="276" w:lineRule="auto"/>
        <w:ind w:hanging="2"/>
        <w:jc w:val="center"/>
        <w:rPr>
          <w:rFonts w:asciiTheme="majorHAnsi" w:hAnsiTheme="majorHAnsi" w:cstheme="majorHAnsi"/>
          <w:i w:val="0"/>
          <w:color w:val="000000"/>
          <w:sz w:val="24"/>
          <w:szCs w:val="24"/>
        </w:rPr>
      </w:pPr>
      <w:r w:rsidRPr="00405ECB">
        <w:rPr>
          <w:rFonts w:asciiTheme="majorHAnsi" w:hAnsiTheme="majorHAnsi" w:cstheme="majorHAnsi"/>
          <w:i w:val="0"/>
          <w:color w:val="000000"/>
          <w:sz w:val="24"/>
          <w:szCs w:val="24"/>
          <w:vertAlign w:val="superscript"/>
        </w:rPr>
        <w:t>1,2,3</w:t>
      </w:r>
      <w:r w:rsidRPr="00405ECB">
        <w:rPr>
          <w:rFonts w:asciiTheme="majorHAnsi" w:hAnsiTheme="majorHAnsi" w:cstheme="majorHAnsi"/>
          <w:i w:val="0"/>
          <w:color w:val="000000"/>
          <w:sz w:val="24"/>
          <w:szCs w:val="24"/>
        </w:rPr>
        <w:t xml:space="preserve"> </w:t>
      </w:r>
      <w:r w:rsidR="005F44D7" w:rsidRPr="00405ECB">
        <w:rPr>
          <w:rFonts w:asciiTheme="majorHAnsi" w:hAnsiTheme="majorHAnsi" w:cstheme="majorHAnsi"/>
          <w:i w:val="0"/>
          <w:color w:val="000000"/>
          <w:sz w:val="24"/>
          <w:szCs w:val="24"/>
        </w:rPr>
        <w:t xml:space="preserve">Department of Environmental Health, </w:t>
      </w:r>
      <w:proofErr w:type="spellStart"/>
      <w:r w:rsidR="005F44D7" w:rsidRPr="00405ECB">
        <w:rPr>
          <w:rFonts w:asciiTheme="majorHAnsi" w:hAnsiTheme="majorHAnsi" w:cstheme="majorHAnsi"/>
          <w:i w:val="0"/>
          <w:color w:val="000000"/>
          <w:sz w:val="24"/>
          <w:szCs w:val="24"/>
        </w:rPr>
        <w:t>Politeknik</w:t>
      </w:r>
      <w:proofErr w:type="spellEnd"/>
      <w:r w:rsidR="005F44D7" w:rsidRPr="00405ECB">
        <w:rPr>
          <w:rFonts w:asciiTheme="majorHAnsi" w:hAnsiTheme="majorHAnsi" w:cstheme="majorHAnsi"/>
          <w:i w:val="0"/>
          <w:color w:val="000000"/>
          <w:sz w:val="24"/>
          <w:szCs w:val="24"/>
        </w:rPr>
        <w:t xml:space="preserve"> Kesehatan Kementerian Kesehatan Medan</w:t>
      </w:r>
    </w:p>
    <w:p w14:paraId="169D15A6" w14:textId="77777777" w:rsidR="00FB36C5" w:rsidRPr="00405ECB" w:rsidRDefault="0042655A" w:rsidP="00405ECB">
      <w:pPr>
        <w:pBdr>
          <w:bottom w:val="double" w:sz="4" w:space="1" w:color="auto"/>
        </w:pBdr>
        <w:spacing w:after="0" w:line="276" w:lineRule="auto"/>
        <w:ind w:hanging="2"/>
        <w:jc w:val="center"/>
        <w:rPr>
          <w:rFonts w:asciiTheme="majorHAnsi" w:hAnsiTheme="majorHAnsi" w:cstheme="majorHAnsi"/>
          <w:color w:val="000000"/>
          <w:sz w:val="24"/>
          <w:szCs w:val="24"/>
          <w:highlight w:val="white"/>
        </w:rPr>
      </w:pPr>
      <w:proofErr w:type="gramStart"/>
      <w:r w:rsidRPr="00405ECB">
        <w:rPr>
          <w:rFonts w:asciiTheme="majorHAnsi" w:hAnsiTheme="majorHAnsi" w:cstheme="majorHAnsi"/>
          <w:sz w:val="24"/>
          <w:szCs w:val="24"/>
          <w:highlight w:val="white"/>
        </w:rPr>
        <w:t>Email :</w:t>
      </w:r>
      <w:proofErr w:type="gramEnd"/>
      <w:r w:rsidRPr="00405ECB">
        <w:rPr>
          <w:rFonts w:asciiTheme="majorHAnsi" w:hAnsiTheme="majorHAnsi" w:cstheme="majorHAnsi"/>
          <w:sz w:val="24"/>
          <w:szCs w:val="24"/>
          <w:highlight w:val="white"/>
        </w:rPr>
        <w:t xml:space="preserve"> </w:t>
      </w:r>
      <w:hyperlink r:id="rId9">
        <w:r w:rsidRPr="00405ECB">
          <w:rPr>
            <w:rFonts w:asciiTheme="majorHAnsi" w:hAnsiTheme="majorHAnsi" w:cstheme="majorHAnsi"/>
            <w:color w:val="000000"/>
            <w:sz w:val="24"/>
            <w:szCs w:val="24"/>
            <w:highlight w:val="white"/>
          </w:rPr>
          <w:t>helfinolia@gmail.com</w:t>
        </w:r>
      </w:hyperlink>
    </w:p>
    <w:p w14:paraId="0801E81D" w14:textId="77777777" w:rsidR="0042655A" w:rsidRPr="00405ECB" w:rsidRDefault="0042655A" w:rsidP="00405ECB">
      <w:pPr>
        <w:pBdr>
          <w:bottom w:val="double" w:sz="4" w:space="1" w:color="auto"/>
        </w:pBdr>
        <w:spacing w:after="0" w:line="276" w:lineRule="auto"/>
        <w:ind w:hanging="2"/>
        <w:jc w:val="center"/>
        <w:rPr>
          <w:rFonts w:asciiTheme="majorHAnsi" w:hAnsiTheme="majorHAnsi" w:cstheme="majorHAnsi"/>
          <w:sz w:val="24"/>
          <w:szCs w:val="24"/>
          <w:highlight w:val="white"/>
        </w:rPr>
      </w:pPr>
    </w:p>
    <w:p w14:paraId="23544B43" w14:textId="77777777" w:rsidR="00FB36C5" w:rsidRPr="00405ECB" w:rsidRDefault="00FB36C5" w:rsidP="00405ECB">
      <w:pPr>
        <w:pBdr>
          <w:bottom w:val="single" w:sz="6" w:space="1" w:color="000000"/>
        </w:pBdr>
        <w:spacing w:after="0" w:line="276" w:lineRule="auto"/>
        <w:jc w:val="center"/>
        <w:rPr>
          <w:rFonts w:asciiTheme="majorHAnsi" w:hAnsiTheme="majorHAnsi" w:cstheme="majorHAnsi"/>
          <w:sz w:val="24"/>
          <w:szCs w:val="24"/>
        </w:rPr>
        <w:sectPr w:rsidR="00FB36C5" w:rsidRPr="00405ECB">
          <w:headerReference w:type="even" r:id="rId10"/>
          <w:headerReference w:type="default" r:id="rId11"/>
          <w:footerReference w:type="even" r:id="rId12"/>
          <w:footerReference w:type="first" r:id="rId13"/>
          <w:pgSz w:w="12240" w:h="15840"/>
          <w:pgMar w:top="1440" w:right="1440" w:bottom="1440" w:left="1440" w:header="567" w:footer="397" w:gutter="0"/>
          <w:pgNumType w:start="20"/>
          <w:cols w:space="720"/>
        </w:sectPr>
      </w:pPr>
    </w:p>
    <w:p w14:paraId="73D80787" w14:textId="77777777" w:rsidR="00FB36C5" w:rsidRPr="00405ECB" w:rsidRDefault="00FB36C5" w:rsidP="00405ECB">
      <w:pPr>
        <w:spacing w:after="0" w:line="276" w:lineRule="auto"/>
        <w:rPr>
          <w:rFonts w:asciiTheme="majorHAnsi" w:hAnsiTheme="majorHAnsi" w:cstheme="majorHAnsi"/>
          <w:b/>
          <w:sz w:val="24"/>
          <w:szCs w:val="24"/>
        </w:rPr>
      </w:pPr>
    </w:p>
    <w:p w14:paraId="41A5BD1B" w14:textId="77777777" w:rsidR="00FB36C5" w:rsidRPr="00405ECB" w:rsidRDefault="0042655A" w:rsidP="00405ECB">
      <w:pPr>
        <w:spacing w:after="0" w:line="276" w:lineRule="auto"/>
        <w:rPr>
          <w:rFonts w:asciiTheme="majorHAnsi" w:hAnsiTheme="majorHAnsi" w:cstheme="majorHAnsi"/>
          <w:b/>
          <w:sz w:val="24"/>
          <w:szCs w:val="24"/>
        </w:rPr>
      </w:pPr>
      <w:r w:rsidRPr="00405ECB">
        <w:rPr>
          <w:rFonts w:asciiTheme="majorHAnsi" w:hAnsiTheme="majorHAnsi" w:cstheme="majorHAnsi"/>
          <w:b/>
          <w:sz w:val="24"/>
          <w:szCs w:val="24"/>
        </w:rPr>
        <w:t xml:space="preserve">ABSTRACT: </w:t>
      </w:r>
      <w:r w:rsidRPr="00405ECB">
        <w:rPr>
          <w:rFonts w:asciiTheme="majorHAnsi" w:hAnsiTheme="majorHAnsi" w:cstheme="majorHAnsi"/>
          <w:b/>
          <w:sz w:val="24"/>
          <w:szCs w:val="24"/>
        </w:rPr>
        <w:tab/>
      </w:r>
    </w:p>
    <w:p w14:paraId="0E54806A" w14:textId="790A5D78" w:rsidR="00FB36C5" w:rsidRPr="00405ECB" w:rsidRDefault="001D6E29" w:rsidP="00405E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HAnsi" w:hAnsiTheme="majorHAnsi" w:cstheme="majorHAnsi"/>
          <w:color w:val="202124"/>
          <w:sz w:val="24"/>
          <w:szCs w:val="24"/>
        </w:rPr>
        <w:sectPr w:rsidR="00FB36C5" w:rsidRPr="00405ECB">
          <w:type w:val="continuous"/>
          <w:pgSz w:w="12240" w:h="15840"/>
          <w:pgMar w:top="1440" w:right="1440" w:bottom="1440" w:left="1440" w:header="708" w:footer="708" w:gutter="0"/>
          <w:cols w:space="720"/>
        </w:sectPr>
      </w:pPr>
      <w:r w:rsidRPr="00405ECB">
        <w:rPr>
          <w:rFonts w:asciiTheme="majorHAnsi" w:hAnsiTheme="majorHAnsi" w:cstheme="majorHAnsi"/>
          <w:color w:val="202124"/>
          <w:sz w:val="24"/>
          <w:szCs w:val="24"/>
        </w:rPr>
        <w:t xml:space="preserve">Dengue hemorrhagic fever (DHF) is a disease that causes death, known for &gt; 200 years, and has become a health problem in the world, especially in developing countries, including Indonesia. Deli Serdang Regency had the highest number of cases in North Sumatra Province in 2019, with 1,326 points. In 2020, there were 974 cases, IR: 50.4. In 2021, the Regency/City ranked 14th out of 514 Regency/City in Indonesia for the highest number of dengue fever cases in 2021 with 803 points, IR/morbidity rate: 34.63/100,000 population, CFR/death rate: 0.12%. It is possible to identify the location of the patient down to the address of the individual's site to obtain information regarding the distribution pattern of cases in each region using the Geographic Information System (GIS). This research aimed to bring a vector entomological survey (CI, BI, HI, ABJ) and the distribution pattern of Dengue Hemorrhagic Fever (DHF). The study used a case-control design, determining the location of houses referring to FUNASA and WHO regulations (taking into account the number of buildings and House Index (HI) with household members as subjects of 100 case houses and 100 control houses consisting of 22 sub-districts in Deli Serdang Regency. Based on the distribution results using </w:t>
      </w:r>
      <w:proofErr w:type="spellStart"/>
      <w:r w:rsidRPr="00405ECB">
        <w:rPr>
          <w:rFonts w:asciiTheme="majorHAnsi" w:hAnsiTheme="majorHAnsi" w:cstheme="majorHAnsi"/>
          <w:color w:val="202124"/>
          <w:sz w:val="24"/>
          <w:szCs w:val="24"/>
        </w:rPr>
        <w:t>Stascan</w:t>
      </w:r>
      <w:proofErr w:type="spellEnd"/>
      <w:r w:rsidRPr="00405ECB">
        <w:rPr>
          <w:rFonts w:asciiTheme="majorHAnsi" w:hAnsiTheme="majorHAnsi" w:cstheme="majorHAnsi"/>
          <w:color w:val="202124"/>
          <w:sz w:val="24"/>
          <w:szCs w:val="24"/>
        </w:rPr>
        <w:t>, there are 4 clusters, and the case points for dengue fever sufferers are located at a distance of 500 - 1500 m from the Community Health Center. Data on dengue fever sufferers in each community health center buffer in Deli Serdang Regency contained 81 cases.</w:t>
      </w:r>
    </w:p>
    <w:p w14:paraId="5ACF208C" w14:textId="77777777" w:rsidR="00FB36C5" w:rsidRPr="00405ECB" w:rsidRDefault="00FB36C5" w:rsidP="00405ECB">
      <w:pPr>
        <w:spacing w:after="0" w:line="276" w:lineRule="auto"/>
        <w:jc w:val="both"/>
        <w:rPr>
          <w:rFonts w:asciiTheme="majorHAnsi" w:hAnsiTheme="majorHAnsi" w:cstheme="majorHAnsi"/>
          <w:i/>
          <w:color w:val="FF0000"/>
          <w:sz w:val="24"/>
          <w:szCs w:val="24"/>
        </w:rPr>
      </w:pPr>
    </w:p>
    <w:p w14:paraId="6D898525" w14:textId="77777777" w:rsidR="00FB36C5" w:rsidRPr="00405ECB" w:rsidRDefault="0042655A" w:rsidP="00405ECB">
      <w:pPr>
        <w:pBdr>
          <w:bottom w:val="double" w:sz="4" w:space="1" w:color="auto"/>
        </w:pBdr>
        <w:spacing w:line="276" w:lineRule="auto"/>
        <w:rPr>
          <w:rFonts w:asciiTheme="majorHAnsi" w:hAnsiTheme="majorHAnsi" w:cstheme="majorHAnsi"/>
          <w:color w:val="202124"/>
          <w:sz w:val="24"/>
          <w:szCs w:val="24"/>
        </w:rPr>
      </w:pPr>
      <w:r w:rsidRPr="00405ECB">
        <w:rPr>
          <w:rFonts w:asciiTheme="majorHAnsi" w:hAnsiTheme="majorHAnsi" w:cstheme="majorHAnsi"/>
          <w:b/>
          <w:color w:val="000000"/>
          <w:sz w:val="24"/>
          <w:szCs w:val="24"/>
        </w:rPr>
        <w:t>Keywords:</w:t>
      </w:r>
      <w:r w:rsidRPr="00405ECB">
        <w:rPr>
          <w:rFonts w:asciiTheme="majorHAnsi" w:hAnsiTheme="majorHAnsi" w:cstheme="majorHAnsi"/>
          <w:color w:val="000000"/>
          <w:sz w:val="24"/>
          <w:szCs w:val="24"/>
        </w:rPr>
        <w:t xml:space="preserve"> </w:t>
      </w:r>
      <w:r w:rsidRPr="00405ECB">
        <w:rPr>
          <w:rFonts w:asciiTheme="majorHAnsi" w:hAnsiTheme="majorHAnsi" w:cstheme="majorHAnsi"/>
          <w:color w:val="202124"/>
          <w:sz w:val="24"/>
          <w:szCs w:val="24"/>
        </w:rPr>
        <w:t>Distribution Pattern, DBD, Density Figure</w:t>
      </w:r>
    </w:p>
    <w:p w14:paraId="74C296DB" w14:textId="77777777" w:rsidR="00D15347" w:rsidRPr="00405ECB" w:rsidRDefault="00D15347" w:rsidP="00405ECB">
      <w:pPr>
        <w:pBdr>
          <w:bottom w:val="double" w:sz="4" w:space="1" w:color="auto"/>
        </w:pBdr>
        <w:spacing w:line="276" w:lineRule="auto"/>
        <w:rPr>
          <w:rFonts w:asciiTheme="majorHAnsi" w:hAnsiTheme="majorHAnsi" w:cstheme="majorHAnsi"/>
          <w:color w:val="202124"/>
          <w:sz w:val="24"/>
          <w:szCs w:val="24"/>
        </w:rPr>
      </w:pPr>
    </w:p>
    <w:p w14:paraId="572083FC" w14:textId="77777777" w:rsidR="00D15347" w:rsidRPr="00405ECB" w:rsidRDefault="00D15347" w:rsidP="00405ECB">
      <w:pPr>
        <w:pBdr>
          <w:bottom w:val="double" w:sz="4" w:space="1" w:color="auto"/>
        </w:pBdr>
        <w:spacing w:line="276" w:lineRule="auto"/>
        <w:rPr>
          <w:rFonts w:asciiTheme="majorHAnsi" w:hAnsiTheme="majorHAnsi" w:cstheme="majorHAnsi"/>
          <w:b/>
          <w:sz w:val="24"/>
          <w:szCs w:val="24"/>
        </w:rPr>
        <w:sectPr w:rsidR="00D15347" w:rsidRPr="00405ECB">
          <w:type w:val="continuous"/>
          <w:pgSz w:w="12240" w:h="15840"/>
          <w:pgMar w:top="1440" w:right="1440" w:bottom="1440" w:left="1440" w:header="708" w:footer="708" w:gutter="0"/>
          <w:cols w:space="720"/>
        </w:sectPr>
      </w:pPr>
    </w:p>
    <w:p w14:paraId="7C858207" w14:textId="0AA41D89" w:rsidR="004829B2" w:rsidRPr="00405ECB" w:rsidRDefault="0042655A" w:rsidP="00405ECB">
      <w:pPr>
        <w:pBdr>
          <w:bottom w:val="double" w:sz="4" w:space="1" w:color="auto"/>
        </w:pBdr>
        <w:spacing w:after="0" w:line="276" w:lineRule="auto"/>
        <w:jc w:val="both"/>
        <w:rPr>
          <w:rFonts w:asciiTheme="majorHAnsi" w:hAnsiTheme="majorHAnsi" w:cstheme="majorHAnsi"/>
          <w:b/>
          <w:sz w:val="24"/>
          <w:szCs w:val="24"/>
        </w:rPr>
      </w:pPr>
      <w:r w:rsidRPr="00405ECB">
        <w:rPr>
          <w:rFonts w:asciiTheme="majorHAnsi" w:hAnsiTheme="majorHAnsi" w:cstheme="majorHAnsi"/>
          <w:b/>
          <w:sz w:val="24"/>
          <w:szCs w:val="24"/>
        </w:rPr>
        <w:lastRenderedPageBreak/>
        <w:t>INTRODUCTION</w:t>
      </w:r>
    </w:p>
    <w:p w14:paraId="28DA4480" w14:textId="77C098BF" w:rsidR="004829B2" w:rsidRPr="00405ECB" w:rsidRDefault="004829B2"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 xml:space="preserve">Dengue </w:t>
      </w:r>
      <w:proofErr w:type="spellStart"/>
      <w:r w:rsidRPr="00405ECB">
        <w:rPr>
          <w:rFonts w:asciiTheme="majorHAnsi" w:hAnsiTheme="majorHAnsi" w:cstheme="majorHAnsi"/>
          <w:color w:val="0E101A"/>
        </w:rPr>
        <w:t>hemorrhagic</w:t>
      </w:r>
      <w:proofErr w:type="spellEnd"/>
      <w:r w:rsidRPr="00405ECB">
        <w:rPr>
          <w:rFonts w:asciiTheme="majorHAnsi" w:hAnsiTheme="majorHAnsi" w:cstheme="majorHAnsi"/>
          <w:color w:val="0E101A"/>
        </w:rPr>
        <w:t xml:space="preserve"> fever is a disease that has been known for &gt; 200 years and has become a health problem in the world, especially in developing countries </w:t>
      </w:r>
      <w:r w:rsidR="0058270F" w:rsidRPr="00405ECB">
        <w:rPr>
          <w:rFonts w:asciiTheme="majorHAnsi" w:hAnsiTheme="majorHAnsi" w:cstheme="majorHAnsi"/>
        </w:rPr>
        <w:fldChar w:fldCharType="begin" w:fldLock="1"/>
      </w:r>
      <w:r w:rsidR="0058270F" w:rsidRPr="00405ECB">
        <w:rPr>
          <w:rFonts w:asciiTheme="majorHAnsi" w:hAnsiTheme="majorHAnsi" w:cstheme="majorHAnsi"/>
        </w:rPr>
        <w:instrText>ADDIN CSL_CITATION {"citationItems":[{"id":"ITEM-1","itemData":{"ISSN":"1410-6515","author":[{"dropping-particle":"","family":"Hasyim","given":"Hamzah","non-dropping-particle":"","parse-names":false,"suffix":""}],"container-title":"Jurnal Manajemen Pelayanan Kesehatan","id":"ITEM-1","issue":"02","issued":{"date-parts":[["2008"]]},"title":"Manajemen Penyakit Lingkungan Berbasis Wilayah","type":"article-journal","volume":"11"},"uris":["http://www.mendeley.com/documents/?uuid=7becbe67-15e8-4108-8861-5776a26267c1"]}],"mendeley":{"formattedCitation":"(Hasyim, 2008)","plainTextFormattedCitation":"(Hasyim, 2008)","previouslyFormattedCitation":"(Hasyim, 2008)"},"properties":{"noteIndex":0},"schema":"https://github.com/citation-style-language/schema/raw/master/csl-citation.json"}</w:instrText>
      </w:r>
      <w:r w:rsidR="0058270F" w:rsidRPr="00405ECB">
        <w:rPr>
          <w:rFonts w:asciiTheme="majorHAnsi" w:hAnsiTheme="majorHAnsi" w:cstheme="majorHAnsi"/>
        </w:rPr>
        <w:fldChar w:fldCharType="separate"/>
      </w:r>
      <w:r w:rsidR="0058270F" w:rsidRPr="00405ECB">
        <w:rPr>
          <w:rFonts w:asciiTheme="majorHAnsi" w:hAnsiTheme="majorHAnsi" w:cstheme="majorHAnsi"/>
          <w:noProof/>
        </w:rPr>
        <w:t>(Hasyim, 2008)</w:t>
      </w:r>
      <w:r w:rsidR="0058270F" w:rsidRPr="00405ECB">
        <w:rPr>
          <w:rFonts w:asciiTheme="majorHAnsi" w:hAnsiTheme="majorHAnsi" w:cstheme="majorHAnsi"/>
        </w:rPr>
        <w:fldChar w:fldCharType="end"/>
      </w:r>
      <w:r w:rsidRPr="00405ECB">
        <w:rPr>
          <w:rFonts w:asciiTheme="majorHAnsi" w:hAnsiTheme="majorHAnsi" w:cstheme="majorHAnsi"/>
          <w:color w:val="0E101A"/>
        </w:rPr>
        <w:t xml:space="preserve">. This disease is endemic in 100 countries, infecting more than 50 – 100 million people. Five hundred thousand cases of dengue fever require hospital treatment, and 22,000 instances die every year </w:t>
      </w:r>
      <w:r w:rsidR="007D7D4A" w:rsidRPr="00405ECB">
        <w:rPr>
          <w:rFonts w:asciiTheme="majorHAnsi" w:hAnsiTheme="majorHAnsi" w:cstheme="majorHAnsi"/>
        </w:rPr>
        <w:fldChar w:fldCharType="begin" w:fldLock="1"/>
      </w:r>
      <w:r w:rsidR="007D7D4A" w:rsidRPr="00405ECB">
        <w:rPr>
          <w:rFonts w:asciiTheme="majorHAnsi" w:hAnsiTheme="majorHAnsi" w:cstheme="majorHAnsi"/>
        </w:rPr>
        <w:instrText>ADDIN CSL_CITATION {"citationItems":[{"id":"ITEM-1","itemData":{"ISSN":"2477-698X","author":[{"dropping-particle":"","family":"Sulistyo","given":"Andhy","non-dropping-particle":"","parse-names":false,"suffix":""}],"container-title":"Khazanah Informatika: Jurnal Ilmu Komputer dan Informatika","id":"ITEM-1","issue":"1","issued":{"date-parts":[["2019"]]},"page":"6-14","title":"Kombinasi teknologi aplikasi gps mobile dan pemetaan sig dalam sistem pemantauan demam berdarah (DBD)","type":"article-journal","volume":"5"},"uris":["http://www.mendeley.com/documents/?uuid=4fb20b76-d46c-4d43-b342-70dc168db7f6"]}],"mendeley":{"formattedCitation":"(Sulistyo, 2019)","plainTextFormattedCitation":"(Sulistyo, 2019)","previouslyFormattedCitation":"(Sulistyo, 2019)"},"properties":{"noteIndex":0},"schema":"https://github.com/citation-style-language/schema/raw/master/csl-citation.json"}</w:instrText>
      </w:r>
      <w:r w:rsidR="007D7D4A" w:rsidRPr="00405ECB">
        <w:rPr>
          <w:rFonts w:asciiTheme="majorHAnsi" w:hAnsiTheme="majorHAnsi" w:cstheme="majorHAnsi"/>
        </w:rPr>
        <w:fldChar w:fldCharType="separate"/>
      </w:r>
      <w:r w:rsidR="007D7D4A" w:rsidRPr="00405ECB">
        <w:rPr>
          <w:rFonts w:asciiTheme="majorHAnsi" w:hAnsiTheme="majorHAnsi" w:cstheme="majorHAnsi"/>
          <w:noProof/>
        </w:rPr>
        <w:t>(Sulistyo, 2019)</w:t>
      </w:r>
      <w:r w:rsidR="007D7D4A" w:rsidRPr="00405ECB">
        <w:rPr>
          <w:rFonts w:asciiTheme="majorHAnsi" w:hAnsiTheme="majorHAnsi" w:cstheme="majorHAnsi"/>
        </w:rPr>
        <w:fldChar w:fldCharType="end"/>
      </w:r>
      <w:r w:rsidRPr="00405ECB">
        <w:rPr>
          <w:rFonts w:asciiTheme="majorHAnsi" w:hAnsiTheme="majorHAnsi" w:cstheme="majorHAnsi"/>
          <w:color w:val="0E101A"/>
        </w:rPr>
        <w:t>.</w:t>
      </w:r>
    </w:p>
    <w:p w14:paraId="5882B9F1" w14:textId="1BF23411" w:rsidR="004829B2" w:rsidRPr="00405ECB" w:rsidRDefault="004829B2"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 xml:space="preserve">In 2021, the number of dengue fever sufferers in 34 provinces in Indonesia will be 73,518 cases, the IR/morbidity rate will be 27/100,000 population, and the CFR/mortality rate will be 0.96%. The morbidity rate/IR of dengue fever cases in North Sumatra Province in 2021 is 19.51/100,000 population, and the CFR is 0.48% </w:t>
      </w:r>
      <w:r w:rsidR="00F13582" w:rsidRPr="00405ECB">
        <w:rPr>
          <w:rFonts w:asciiTheme="majorHAnsi" w:hAnsiTheme="majorHAnsi" w:cstheme="majorHAnsi"/>
        </w:rPr>
        <w:fldChar w:fldCharType="begin" w:fldLock="1"/>
      </w:r>
      <w:r w:rsidR="00F13582" w:rsidRPr="00405ECB">
        <w:rPr>
          <w:rFonts w:asciiTheme="majorHAnsi" w:hAnsiTheme="majorHAnsi" w:cstheme="majorHAnsi"/>
        </w:rPr>
        <w:instrText>ADDIN CSL_CITATION {"citationItems":[{"id":"ITEM-1","itemData":{"ISSN":"2622-3392","author":[{"dropping-particle":"","family":"Akbar","given":"Hairil","non-dropping-particle":"","parse-names":false,"suffix":""},{"dropping-particle":"","family":"Hamzah","given":"B","non-dropping-particle":"","parse-names":false,"suffix":""}],"container-title":"Afiasi: Jurnal Kesehatan Masyarakat","id":"ITEM-1","issue":"2","issued":{"date-parts":[["2021"]]},"page":"127-133","title":"Identifikasi Kepadatan Larva Nyamuk Aedes Sp Sebagai Vektor Penyakit Demam Berdarah Dengue di Kelurahan Mogolaing Kotamobagu","type":"article-journal","volume":"6"},"uris":["http://www.mendeley.com/documents/?uuid=11158da2-3c80-4963-aa7b-08abd3fb44a0"]}],"mendeley":{"formattedCitation":"(Akbar &amp; Hamzah, 2021)","plainTextFormattedCitation":"(Akbar &amp; Hamzah, 2021)","previouslyFormattedCitation":"(Akbar &amp; Hamzah, 2021)"},"properties":{"noteIndex":0},"schema":"https://github.com/citation-style-language/schema/raw/master/csl-citation.json"}</w:instrText>
      </w:r>
      <w:r w:rsidR="00F13582" w:rsidRPr="00405ECB">
        <w:rPr>
          <w:rFonts w:asciiTheme="majorHAnsi" w:hAnsiTheme="majorHAnsi" w:cstheme="majorHAnsi"/>
        </w:rPr>
        <w:fldChar w:fldCharType="separate"/>
      </w:r>
      <w:r w:rsidR="00F13582" w:rsidRPr="00405ECB">
        <w:rPr>
          <w:rFonts w:asciiTheme="majorHAnsi" w:hAnsiTheme="majorHAnsi" w:cstheme="majorHAnsi"/>
          <w:noProof/>
        </w:rPr>
        <w:t>(Akbar &amp; Hamzah, 2021)</w:t>
      </w:r>
      <w:r w:rsidR="00F13582" w:rsidRPr="00405ECB">
        <w:rPr>
          <w:rFonts w:asciiTheme="majorHAnsi" w:hAnsiTheme="majorHAnsi" w:cstheme="majorHAnsi"/>
        </w:rPr>
        <w:fldChar w:fldCharType="end"/>
      </w:r>
      <w:r w:rsidRPr="00405ECB">
        <w:rPr>
          <w:rFonts w:asciiTheme="majorHAnsi" w:hAnsiTheme="majorHAnsi" w:cstheme="majorHAnsi"/>
          <w:color w:val="0E101A"/>
        </w:rPr>
        <w:t>.</w:t>
      </w:r>
    </w:p>
    <w:p w14:paraId="2A242B6B" w14:textId="2BF4E6BB" w:rsidR="004829B2" w:rsidRPr="00405ECB" w:rsidRDefault="004829B2"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 xml:space="preserve">Deli Serdang Regency had the highest number of cases in North Sumatra Province in 2019, with 1,326 points, in 2020, there were 974 cases, IR: 50.4. In 2021, the Regency/City ranked 14th out of 514 Regency/City in Indonesia for the highest number of dengue fever cases in 2021, 803 points, IR/morbidity rate: 34.63/100,000 population, CFR/mortality rate: 0.12% </w:t>
      </w:r>
      <w:r w:rsidR="00DB2D39" w:rsidRPr="00405ECB">
        <w:rPr>
          <w:rFonts w:asciiTheme="majorHAnsi" w:hAnsiTheme="majorHAnsi" w:cstheme="majorHAnsi"/>
        </w:rPr>
        <w:fldChar w:fldCharType="begin" w:fldLock="1"/>
      </w:r>
      <w:r w:rsidR="00DB2D39" w:rsidRPr="00405ECB">
        <w:rPr>
          <w:rFonts w:asciiTheme="majorHAnsi" w:hAnsiTheme="majorHAnsi" w:cstheme="majorHAnsi"/>
        </w:rPr>
        <w:instrText>ADDIN CSL_CITATION {"citationItems":[{"id":"ITEM-1","itemData":{"author":[{"dropping-particle":"","family":"Atikasari","given":"Ekalina","non-dropping-particle":"","parse-names":false,"suffix":""},{"dropping-particle":"","family":"Sulistyorini","given":"Lilis","non-dropping-particle":"","parse-names":false,"suffix":""}],"container-title":"The Indonesian Journal of Public Health","id":"ITEM-1","issue":"1","issued":{"date-parts":[["2018"]]},"page":"71-82","title":"Pengendalian vektor nyamuk aedes aegypti di rumah sakit kota surabaya","type":"article-journal","volume":"13"},"uris":["http://www.mendeley.com/documents/?uuid=5e060564-0171-447a-83e8-cf697cc09aee"]}],"mendeley":{"formattedCitation":"(Atikasari &amp; Sulistyorini, 2018)","plainTextFormattedCitation":"(Atikasari &amp; Sulistyorini, 2018)","previouslyFormattedCitation":"(Atikasari &amp; Sulistyorini, 2018)"},"properties":{"noteIndex":0},"schema":"https://github.com/citation-style-language/schema/raw/master/csl-citation.json"}</w:instrText>
      </w:r>
      <w:r w:rsidR="00DB2D39" w:rsidRPr="00405ECB">
        <w:rPr>
          <w:rFonts w:asciiTheme="majorHAnsi" w:hAnsiTheme="majorHAnsi" w:cstheme="majorHAnsi"/>
        </w:rPr>
        <w:fldChar w:fldCharType="separate"/>
      </w:r>
      <w:r w:rsidR="00DB2D39" w:rsidRPr="00405ECB">
        <w:rPr>
          <w:rFonts w:asciiTheme="majorHAnsi" w:hAnsiTheme="majorHAnsi" w:cstheme="majorHAnsi"/>
          <w:noProof/>
        </w:rPr>
        <w:t>(Atikasari &amp; Sulistyorini, 2018)</w:t>
      </w:r>
      <w:r w:rsidR="00DB2D39" w:rsidRPr="00405ECB">
        <w:rPr>
          <w:rFonts w:asciiTheme="majorHAnsi" w:hAnsiTheme="majorHAnsi" w:cstheme="majorHAnsi"/>
        </w:rPr>
        <w:fldChar w:fldCharType="end"/>
      </w:r>
      <w:r w:rsidRPr="00405ECB">
        <w:rPr>
          <w:rFonts w:asciiTheme="majorHAnsi" w:hAnsiTheme="majorHAnsi" w:cstheme="majorHAnsi"/>
          <w:color w:val="0E101A"/>
        </w:rPr>
        <w:t xml:space="preserve">. Based on sensitivity tests in North Sumatra Province in 2015, alpha-cypermethrin 0.025% showed a value above 80%. The insecticide cypermethrin 0.05% of mosquitoes that died in Deli Serdang Regency was only 70%, deltamethrin 0.025% showed deaths above 90%, the percentage of mosquito deaths from the </w:t>
      </w:r>
      <w:proofErr w:type="spellStart"/>
      <w:r w:rsidRPr="00405ECB">
        <w:rPr>
          <w:rFonts w:asciiTheme="majorHAnsi" w:hAnsiTheme="majorHAnsi" w:cstheme="majorHAnsi"/>
          <w:color w:val="0E101A"/>
        </w:rPr>
        <w:t>Pematang</w:t>
      </w:r>
      <w:proofErr w:type="spellEnd"/>
      <w:r w:rsidR="00AC46ED">
        <w:rPr>
          <w:rFonts w:asciiTheme="majorHAnsi" w:hAnsiTheme="majorHAnsi" w:cstheme="majorHAnsi"/>
          <w:color w:val="0E101A"/>
        </w:rPr>
        <w:t xml:space="preserve"> </w:t>
      </w:r>
      <w:proofErr w:type="spellStart"/>
      <w:r w:rsidR="00AC46ED">
        <w:rPr>
          <w:rFonts w:asciiTheme="majorHAnsi" w:hAnsiTheme="majorHAnsi" w:cstheme="majorHAnsi"/>
          <w:color w:val="0E101A"/>
        </w:rPr>
        <w:t>S</w:t>
      </w:r>
      <w:r w:rsidRPr="00405ECB">
        <w:rPr>
          <w:rFonts w:asciiTheme="majorHAnsi" w:hAnsiTheme="majorHAnsi" w:cstheme="majorHAnsi"/>
          <w:color w:val="0E101A"/>
        </w:rPr>
        <w:t>iantar</w:t>
      </w:r>
      <w:proofErr w:type="spellEnd"/>
      <w:r w:rsidRPr="00405ECB">
        <w:rPr>
          <w:rFonts w:asciiTheme="majorHAnsi" w:hAnsiTheme="majorHAnsi" w:cstheme="majorHAnsi"/>
          <w:color w:val="0E101A"/>
        </w:rPr>
        <w:t xml:space="preserve"> and </w:t>
      </w:r>
      <w:proofErr w:type="spellStart"/>
      <w:r w:rsidRPr="00405ECB">
        <w:rPr>
          <w:rFonts w:asciiTheme="majorHAnsi" w:hAnsiTheme="majorHAnsi" w:cstheme="majorHAnsi"/>
          <w:color w:val="0E101A"/>
        </w:rPr>
        <w:t>Tebing</w:t>
      </w:r>
      <w:proofErr w:type="spellEnd"/>
      <w:r w:rsidRPr="00405ECB">
        <w:rPr>
          <w:rFonts w:asciiTheme="majorHAnsi" w:hAnsiTheme="majorHAnsi" w:cstheme="majorHAnsi"/>
          <w:color w:val="0E101A"/>
        </w:rPr>
        <w:t xml:space="preserve"> Tinggi </w:t>
      </w:r>
      <w:r w:rsidRPr="00405ECB">
        <w:rPr>
          <w:rFonts w:asciiTheme="majorHAnsi" w:hAnsiTheme="majorHAnsi" w:cstheme="majorHAnsi"/>
          <w:color w:val="0E101A"/>
        </w:rPr>
        <w:t>areas below 80%. Central Java and DI Yogyakarta mostly</w:t>
      </w:r>
      <w:r w:rsidRPr="00405ECB">
        <w:rPr>
          <w:rStyle w:val="Emphasis"/>
          <w:rFonts w:asciiTheme="majorHAnsi" w:hAnsiTheme="majorHAnsi" w:cstheme="majorHAnsi"/>
          <w:color w:val="0E101A"/>
        </w:rPr>
        <w:t> of Egyptians</w:t>
      </w:r>
      <w:r w:rsidR="00AC46ED">
        <w:rPr>
          <w:rStyle w:val="Emphasis"/>
          <w:rFonts w:asciiTheme="majorHAnsi" w:hAnsiTheme="majorHAnsi" w:cstheme="majorHAnsi"/>
          <w:color w:val="0E101A"/>
        </w:rPr>
        <w:t xml:space="preserve"> </w:t>
      </w:r>
      <w:r w:rsidRPr="00405ECB">
        <w:rPr>
          <w:rFonts w:asciiTheme="majorHAnsi" w:hAnsiTheme="majorHAnsi" w:cstheme="majorHAnsi"/>
          <w:color w:val="0E101A"/>
        </w:rPr>
        <w:t xml:space="preserve">resistant to insecticides used in control activities bendiocarb 0.1%, lambda-cyhalothrin 0.05%, permethrin 0.75%, deltamethrin 0.05%, and etofenprox 0.5. </w:t>
      </w:r>
      <w:proofErr w:type="spellStart"/>
      <w:r w:rsidRPr="00405ECB">
        <w:rPr>
          <w:rFonts w:asciiTheme="majorHAnsi" w:hAnsiTheme="majorHAnsi" w:cstheme="majorHAnsi"/>
          <w:color w:val="0E101A"/>
        </w:rPr>
        <w:t>Ikawati</w:t>
      </w:r>
      <w:proofErr w:type="spellEnd"/>
      <w:r w:rsidRPr="00405ECB">
        <w:rPr>
          <w:rFonts w:asciiTheme="majorHAnsi" w:hAnsiTheme="majorHAnsi" w:cstheme="majorHAnsi"/>
          <w:color w:val="0E101A"/>
        </w:rPr>
        <w:t xml:space="preserve"> et al. stated cypermethrin resistance was 0.05% in </w:t>
      </w:r>
      <w:r w:rsidRPr="00405ECB">
        <w:rPr>
          <w:rStyle w:val="Emphasis"/>
          <w:rFonts w:asciiTheme="majorHAnsi" w:hAnsiTheme="majorHAnsi" w:cstheme="majorHAnsi"/>
          <w:color w:val="0E101A"/>
        </w:rPr>
        <w:t>the Temples of the Egyptians in</w:t>
      </w:r>
      <w:r w:rsidRPr="00405ECB">
        <w:rPr>
          <w:rFonts w:asciiTheme="majorHAnsi" w:hAnsiTheme="majorHAnsi" w:cstheme="majorHAnsi"/>
          <w:color w:val="0E101A"/>
        </w:rPr>
        <w:t xml:space="preserve"> nine districts in Central Java. Mosquitoes show moderate resistance to cypermethrin in </w:t>
      </w:r>
      <w:proofErr w:type="spellStart"/>
      <w:r w:rsidRPr="00405ECB">
        <w:rPr>
          <w:rFonts w:asciiTheme="majorHAnsi" w:hAnsiTheme="majorHAnsi" w:cstheme="majorHAnsi"/>
          <w:color w:val="0E101A"/>
        </w:rPr>
        <w:t>Ngawonggo</w:t>
      </w:r>
      <w:proofErr w:type="spellEnd"/>
      <w:r w:rsidRPr="00405ECB">
        <w:rPr>
          <w:rFonts w:asciiTheme="majorHAnsi" w:hAnsiTheme="majorHAnsi" w:cstheme="majorHAnsi"/>
          <w:color w:val="0E101A"/>
        </w:rPr>
        <w:t xml:space="preserve"> and Kajen Villages, with a mortality of 97%. Meger Village offers a resistant status with a mortality of 89% </w:t>
      </w:r>
      <w:r w:rsidR="006E360C" w:rsidRPr="00405ECB">
        <w:rPr>
          <w:rFonts w:asciiTheme="majorHAnsi" w:hAnsiTheme="majorHAnsi" w:cstheme="majorHAnsi"/>
        </w:rPr>
        <w:fldChar w:fldCharType="begin" w:fldLock="1"/>
      </w:r>
      <w:r w:rsidR="006E360C" w:rsidRPr="00405ECB">
        <w:rPr>
          <w:rFonts w:asciiTheme="majorHAnsi" w:hAnsiTheme="majorHAnsi" w:cstheme="majorHAnsi"/>
        </w:rPr>
        <w:instrText>ADDIN CSL_CITATION {"citationItems":[{"id":"ITEM-1","itemData":{"ISBN":"1467385689","author":[{"dropping-particle":"","family":"Niroui","given":"Farnaz","non-dropping-particle":"","parse-names":false,"suffix":""},{"dropping-particle":"","family":"Sletten","given":"Ellen M","non-dropping-particle":"","parse-names":false,"suffix":""},{"dropping-particle":"","family":"Song","given":"Yi","non-dropping-particle":"","parse-names":false,"suffix":""},{"dropping-particle":"","family":"Wang","given":"Annie I","non-dropping-particle":"","parse-names":false,"suffix":""},{"dropping-particle":"","family":"Ong","given":"Wen Jie","non-dropping-particle":"","parse-names":false,"suffix":""},{"dropping-particle":"","family":"Kong","given":"Jing","non-dropping-particle":"","parse-names":false,"suffix":""},{"dropping-particle":"","family":"Yablonovitch","given":"Eli","non-dropping-particle":"","parse-names":false,"suffix":""},{"dropping-particle":"","family":"Swager","given":"Timothy M","non-dropping-particle":"","parse-names":false,"suffix":""},{"dropping-particle":"","family":"Lang","given":"Jeffrey H","non-dropping-particle":"","parse-names":false,"suffix":""},{"dropping-particle":"","family":"Bulović","given":"Vladimir","non-dropping-particle":"","parse-names":false,"suffix":""}],"container-title":"2015 Fourth Berkeley Symposium on Energy Efficient Electronic Systems (E3S)","id":"ITEM-1","issued":{"date-parts":[["2015"]]},"page":"1-3","publisher":"IEEE","title":"Tunneling nanoelectromechanical switches","type":"paper-conference"},"uris":["http://www.mendeley.com/documents/?uuid=9e30a00b-3d38-45d2-8c61-b262652c97f1"]}],"mendeley":{"formattedCitation":"(Niroui et al., 2015)","plainTextFormattedCitation":"(Niroui et al., 2015)","previouslyFormattedCitation":"(Niroui et al., 2015)"},"properties":{"noteIndex":0},"schema":"https://github.com/citation-style-language/schema/raw/master/csl-citation.json"}</w:instrText>
      </w:r>
      <w:r w:rsidR="006E360C" w:rsidRPr="00405ECB">
        <w:rPr>
          <w:rFonts w:asciiTheme="majorHAnsi" w:hAnsiTheme="majorHAnsi" w:cstheme="majorHAnsi"/>
        </w:rPr>
        <w:fldChar w:fldCharType="separate"/>
      </w:r>
      <w:r w:rsidR="006E360C" w:rsidRPr="00405ECB">
        <w:rPr>
          <w:rFonts w:asciiTheme="majorHAnsi" w:hAnsiTheme="majorHAnsi" w:cstheme="majorHAnsi"/>
          <w:noProof/>
        </w:rPr>
        <w:t>(Niroui et al., 2015)</w:t>
      </w:r>
      <w:r w:rsidR="006E360C" w:rsidRPr="00405ECB">
        <w:rPr>
          <w:rFonts w:asciiTheme="majorHAnsi" w:hAnsiTheme="majorHAnsi" w:cstheme="majorHAnsi"/>
        </w:rPr>
        <w:fldChar w:fldCharType="end"/>
      </w:r>
      <w:r w:rsidRPr="00405ECB">
        <w:rPr>
          <w:rFonts w:asciiTheme="majorHAnsi" w:hAnsiTheme="majorHAnsi" w:cstheme="majorHAnsi"/>
          <w:color w:val="0E101A"/>
        </w:rPr>
        <w:t>.</w:t>
      </w:r>
    </w:p>
    <w:p w14:paraId="48A26BAE" w14:textId="77777777" w:rsidR="004829B2" w:rsidRPr="00405ECB" w:rsidRDefault="004829B2"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 xml:space="preserve">Prevention and control of dengue fever with PSN 3 M Plus activities and the one house one </w:t>
      </w:r>
      <w:proofErr w:type="spellStart"/>
      <w:r w:rsidRPr="00405ECB">
        <w:rPr>
          <w:rFonts w:asciiTheme="majorHAnsi" w:hAnsiTheme="majorHAnsi" w:cstheme="majorHAnsi"/>
          <w:color w:val="0E101A"/>
        </w:rPr>
        <w:t>jumantik</w:t>
      </w:r>
      <w:proofErr w:type="spellEnd"/>
      <w:r w:rsidRPr="00405ECB">
        <w:rPr>
          <w:rFonts w:asciiTheme="majorHAnsi" w:hAnsiTheme="majorHAnsi" w:cstheme="majorHAnsi"/>
          <w:color w:val="0E101A"/>
        </w:rPr>
        <w:t xml:space="preserve"> movement (G1R1J) has not yet been implemented in Deli Serdang Regency, so there is no data on the risk of dengue transmission (BI, CI, HI, ABJ and density figures). Controlling the dengue vector in Deli Serdang Regency uses CYNOFF 50 EC, which contains the active ingredient cypermethrin 50 gr/lt.</w:t>
      </w:r>
    </w:p>
    <w:p w14:paraId="6657FD3C" w14:textId="77777777" w:rsidR="00FB36C5" w:rsidRPr="00405ECB" w:rsidRDefault="00FB36C5" w:rsidP="00405ECB">
      <w:pPr>
        <w:spacing w:after="0" w:line="276" w:lineRule="auto"/>
        <w:jc w:val="both"/>
        <w:rPr>
          <w:rFonts w:asciiTheme="majorHAnsi" w:hAnsiTheme="majorHAnsi" w:cstheme="majorHAnsi"/>
          <w:b/>
          <w:color w:val="000000"/>
          <w:sz w:val="24"/>
          <w:szCs w:val="24"/>
        </w:rPr>
      </w:pPr>
    </w:p>
    <w:p w14:paraId="1EA727E5" w14:textId="5643A79E" w:rsidR="00BB58F3" w:rsidRPr="00405ECB" w:rsidRDefault="0042655A" w:rsidP="00405ECB">
      <w:pPr>
        <w:pBdr>
          <w:bottom w:val="double" w:sz="4" w:space="1" w:color="auto"/>
        </w:pBdr>
        <w:spacing w:after="0" w:line="276" w:lineRule="auto"/>
        <w:jc w:val="both"/>
        <w:rPr>
          <w:rFonts w:asciiTheme="majorHAnsi" w:hAnsiTheme="majorHAnsi" w:cstheme="majorHAnsi"/>
          <w:color w:val="0E101A"/>
          <w:sz w:val="24"/>
          <w:szCs w:val="24"/>
        </w:rPr>
      </w:pPr>
      <w:r w:rsidRPr="00405ECB">
        <w:rPr>
          <w:rFonts w:asciiTheme="majorHAnsi" w:hAnsiTheme="majorHAnsi" w:cstheme="majorHAnsi"/>
          <w:b/>
          <w:color w:val="000000"/>
          <w:sz w:val="24"/>
          <w:szCs w:val="24"/>
        </w:rPr>
        <w:t>RESEARCH METHODS</w:t>
      </w:r>
    </w:p>
    <w:p w14:paraId="0DB231C5" w14:textId="77777777" w:rsidR="00BB58F3" w:rsidRPr="00405ECB" w:rsidRDefault="00BB58F3"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The type of research used is observational research with a case-control design. The research location is Deli Serdang Regency from January to September 2023. The ratio used for case-control is 1:1 (100 cases and 100 controls) data collection for the distribution of dengue fever using GPS to obtain GIS data.</w:t>
      </w:r>
    </w:p>
    <w:p w14:paraId="63EBFE81" w14:textId="49342A49" w:rsidR="00FB36C5" w:rsidRPr="00405ECB" w:rsidRDefault="00BB58F3" w:rsidP="00405ECB">
      <w:pPr>
        <w:pStyle w:val="NormalWeb"/>
        <w:spacing w:before="0" w:beforeAutospacing="0" w:after="0" w:afterAutospacing="0" w:line="276" w:lineRule="auto"/>
        <w:ind w:firstLine="720"/>
        <w:jc w:val="both"/>
        <w:rPr>
          <w:rFonts w:asciiTheme="majorHAnsi" w:hAnsiTheme="majorHAnsi" w:cstheme="majorHAnsi"/>
          <w:color w:val="000000"/>
        </w:rPr>
      </w:pPr>
      <w:r w:rsidRPr="00405ECB">
        <w:rPr>
          <w:rFonts w:asciiTheme="majorHAnsi" w:hAnsiTheme="majorHAnsi" w:cstheme="majorHAnsi"/>
          <w:color w:val="0E101A"/>
        </w:rPr>
        <w:t xml:space="preserve">Collecting data on several factors causing dengue fever using a questionnaire with observation sheets, characteristics including density figures and larva collection </w:t>
      </w:r>
      <w:r w:rsidRPr="00405ECB">
        <w:rPr>
          <w:rFonts w:asciiTheme="majorHAnsi" w:hAnsiTheme="majorHAnsi" w:cstheme="majorHAnsi"/>
          <w:color w:val="0E101A"/>
        </w:rPr>
        <w:lastRenderedPageBreak/>
        <w:t xml:space="preserve">using a </w:t>
      </w:r>
      <w:proofErr w:type="spellStart"/>
      <w:r w:rsidRPr="00405ECB">
        <w:rPr>
          <w:rFonts w:asciiTheme="majorHAnsi" w:hAnsiTheme="majorHAnsi" w:cstheme="majorHAnsi"/>
          <w:color w:val="0E101A"/>
        </w:rPr>
        <w:t>Vitra</w:t>
      </w:r>
      <w:proofErr w:type="spellEnd"/>
      <w:r w:rsidRPr="00405ECB">
        <w:rPr>
          <w:rFonts w:asciiTheme="majorHAnsi" w:hAnsiTheme="majorHAnsi" w:cstheme="majorHAnsi"/>
          <w:color w:val="0E101A"/>
        </w:rPr>
        <w:t xml:space="preserve"> and Garmin </w:t>
      </w:r>
      <w:proofErr w:type="spellStart"/>
      <w:r w:rsidRPr="00405ECB">
        <w:rPr>
          <w:rFonts w:asciiTheme="majorHAnsi" w:hAnsiTheme="majorHAnsi" w:cstheme="majorHAnsi"/>
          <w:color w:val="0E101A"/>
        </w:rPr>
        <w:t>Etrex</w:t>
      </w:r>
      <w:proofErr w:type="spellEnd"/>
      <w:r w:rsidRPr="00405ECB">
        <w:rPr>
          <w:rFonts w:asciiTheme="majorHAnsi" w:hAnsiTheme="majorHAnsi" w:cstheme="majorHAnsi"/>
          <w:color w:val="0E101A"/>
        </w:rPr>
        <w:t xml:space="preserve"> 10 type GPS, map source, Quantum GIS, and Google Earth to collect coordinates of dengue cases living in Deli Serdang Regency. Data analysis is done by </w:t>
      </w:r>
      <w:proofErr w:type="spellStart"/>
      <w:r w:rsidRPr="00405ECB">
        <w:rPr>
          <w:rFonts w:asciiTheme="majorHAnsi" w:hAnsiTheme="majorHAnsi" w:cstheme="majorHAnsi"/>
          <w:color w:val="0E101A"/>
        </w:rPr>
        <w:t>analyzing</w:t>
      </w:r>
      <w:proofErr w:type="spellEnd"/>
      <w:r w:rsidRPr="00405ECB">
        <w:rPr>
          <w:rFonts w:asciiTheme="majorHAnsi" w:hAnsiTheme="majorHAnsi" w:cstheme="majorHAnsi"/>
          <w:color w:val="0E101A"/>
        </w:rPr>
        <w:t xml:space="preserve"> the average</w:t>
      </w:r>
      <w:r w:rsidRPr="00405ECB">
        <w:rPr>
          <w:rStyle w:val="Emphasis"/>
          <w:rFonts w:asciiTheme="majorHAnsi" w:hAnsiTheme="majorHAnsi" w:cstheme="majorHAnsi"/>
          <w:color w:val="0E101A"/>
        </w:rPr>
        <w:t xml:space="preserve"> nearest </w:t>
      </w:r>
      <w:proofErr w:type="spellStart"/>
      <w:r w:rsidRPr="00405ECB">
        <w:rPr>
          <w:rStyle w:val="Emphasis"/>
          <w:rFonts w:asciiTheme="majorHAnsi" w:hAnsiTheme="majorHAnsi" w:cstheme="majorHAnsi"/>
          <w:color w:val="0E101A"/>
        </w:rPr>
        <w:t>neighbor</w:t>
      </w:r>
      <w:proofErr w:type="spellEnd"/>
      <w:r w:rsidRPr="00405ECB">
        <w:rPr>
          <w:rFonts w:asciiTheme="majorHAnsi" w:hAnsiTheme="majorHAnsi" w:cstheme="majorHAnsi"/>
          <w:color w:val="0E101A"/>
        </w:rPr>
        <w:t> used to see the distribution pattern of dengue fever incidents in the Deli Serdang Regency.</w:t>
      </w:r>
    </w:p>
    <w:p w14:paraId="6F8F9704" w14:textId="77777777" w:rsidR="00FB36C5" w:rsidRPr="00405ECB" w:rsidRDefault="0042655A" w:rsidP="00405ECB">
      <w:pPr>
        <w:pBdr>
          <w:bottom w:val="double" w:sz="4" w:space="1" w:color="auto"/>
        </w:pBdr>
        <w:spacing w:after="0" w:line="276" w:lineRule="auto"/>
        <w:jc w:val="both"/>
        <w:rPr>
          <w:rFonts w:asciiTheme="majorHAnsi" w:hAnsiTheme="majorHAnsi" w:cstheme="majorHAnsi"/>
          <w:b/>
          <w:sz w:val="24"/>
          <w:szCs w:val="24"/>
        </w:rPr>
      </w:pPr>
      <w:r w:rsidRPr="00405ECB">
        <w:rPr>
          <w:rFonts w:asciiTheme="majorHAnsi" w:hAnsiTheme="majorHAnsi" w:cstheme="majorHAnsi"/>
          <w:b/>
          <w:sz w:val="24"/>
          <w:szCs w:val="24"/>
        </w:rPr>
        <w:t>RESULTS AND DISCUSSION</w:t>
      </w:r>
    </w:p>
    <w:p w14:paraId="72A173D4" w14:textId="197FAD02" w:rsidR="00FB36C5" w:rsidRPr="00405ECB" w:rsidRDefault="0042655A" w:rsidP="00405ECB">
      <w:pPr>
        <w:widowControl w:val="0"/>
        <w:spacing w:after="0" w:line="276" w:lineRule="auto"/>
        <w:jc w:val="both"/>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Distribution Pattern of Dengue Fever Incidence</w:t>
      </w:r>
      <w:r w:rsidR="00837025">
        <w:rPr>
          <w:rFonts w:asciiTheme="majorHAnsi" w:hAnsiTheme="majorHAnsi" w:cstheme="majorHAnsi"/>
          <w:b/>
          <w:color w:val="000000"/>
          <w:sz w:val="24"/>
          <w:szCs w:val="24"/>
        </w:rPr>
        <w:t xml:space="preserve"> </w:t>
      </w:r>
      <w:r w:rsidRPr="00405ECB">
        <w:rPr>
          <w:rFonts w:asciiTheme="majorHAnsi" w:hAnsiTheme="majorHAnsi" w:cstheme="majorHAnsi"/>
          <w:b/>
          <w:i/>
          <w:color w:val="000000"/>
          <w:sz w:val="24"/>
          <w:szCs w:val="24"/>
        </w:rPr>
        <w:t>Dengue</w:t>
      </w:r>
      <w:r w:rsidRPr="00405ECB">
        <w:rPr>
          <w:rFonts w:asciiTheme="majorHAnsi" w:hAnsiTheme="majorHAnsi" w:cstheme="majorHAnsi"/>
          <w:b/>
          <w:color w:val="000000"/>
          <w:sz w:val="24"/>
          <w:szCs w:val="24"/>
        </w:rPr>
        <w:t xml:space="preserve"> (DBD) </w:t>
      </w:r>
    </w:p>
    <w:p w14:paraId="36E58420" w14:textId="77777777" w:rsidR="00FB36C5" w:rsidRPr="00405ECB" w:rsidRDefault="00FB36C5" w:rsidP="00405ECB">
      <w:pPr>
        <w:widowControl w:val="0"/>
        <w:pBdr>
          <w:top w:val="nil"/>
          <w:left w:val="nil"/>
          <w:bottom w:val="nil"/>
          <w:right w:val="nil"/>
          <w:between w:val="nil"/>
        </w:pBdr>
        <w:tabs>
          <w:tab w:val="right" w:pos="567"/>
        </w:tabs>
        <w:spacing w:after="0" w:line="276" w:lineRule="auto"/>
        <w:ind w:hanging="2"/>
        <w:jc w:val="both"/>
        <w:rPr>
          <w:rFonts w:asciiTheme="majorHAnsi" w:hAnsiTheme="majorHAnsi" w:cstheme="majorHAnsi"/>
          <w:b/>
          <w:color w:val="000000"/>
          <w:sz w:val="24"/>
          <w:szCs w:val="24"/>
        </w:rPr>
      </w:pPr>
    </w:p>
    <w:p w14:paraId="1E0AA00F" w14:textId="77777777" w:rsidR="00FB36C5" w:rsidRPr="00405ECB" w:rsidRDefault="0042655A" w:rsidP="00405ECB">
      <w:pPr>
        <w:spacing w:after="0" w:line="276" w:lineRule="auto"/>
        <w:ind w:hanging="2"/>
        <w:jc w:val="center"/>
        <w:rPr>
          <w:rFonts w:asciiTheme="majorHAnsi" w:hAnsiTheme="majorHAnsi" w:cstheme="majorHAnsi"/>
          <w:b/>
          <w:color w:val="000000"/>
          <w:sz w:val="24"/>
          <w:szCs w:val="24"/>
        </w:rPr>
        <w:sectPr w:rsidR="00FB36C5" w:rsidRPr="00405ECB" w:rsidSect="006100CF">
          <w:headerReference w:type="even" r:id="rId14"/>
          <w:headerReference w:type="default" r:id="rId15"/>
          <w:footerReference w:type="even" r:id="rId16"/>
          <w:footerReference w:type="default" r:id="rId17"/>
          <w:footerReference w:type="first" r:id="rId18"/>
          <w:pgSz w:w="12240" w:h="15840"/>
          <w:pgMar w:top="1440" w:right="1440" w:bottom="1440" w:left="1440" w:header="708" w:footer="227" w:gutter="0"/>
          <w:pgNumType w:start="1335"/>
          <w:cols w:num="2" w:space="720" w:equalWidth="0">
            <w:col w:w="4326" w:space="708"/>
            <w:col w:w="4326" w:space="0"/>
          </w:cols>
        </w:sectPr>
      </w:pPr>
      <w:r w:rsidRPr="00405ECB">
        <w:rPr>
          <w:rFonts w:asciiTheme="majorHAnsi" w:hAnsiTheme="majorHAnsi" w:cstheme="majorHAnsi"/>
          <w:b/>
          <w:color w:val="000000"/>
          <w:sz w:val="24"/>
          <w:szCs w:val="24"/>
        </w:rPr>
        <w:t xml:space="preserve"> </w:t>
      </w:r>
    </w:p>
    <w:p w14:paraId="18AB3086" w14:textId="77777777" w:rsidR="00FB36C5" w:rsidRPr="00405ECB" w:rsidRDefault="0042655A" w:rsidP="00405ECB">
      <w:pPr>
        <w:spacing w:after="0" w:line="276" w:lineRule="auto"/>
        <w:ind w:hanging="2"/>
        <w:jc w:val="center"/>
        <w:rPr>
          <w:rFonts w:asciiTheme="majorHAnsi" w:hAnsiTheme="majorHAnsi" w:cstheme="majorHAnsi"/>
          <w:b/>
          <w:color w:val="000000"/>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noProof/>
          <w:sz w:val="24"/>
          <w:szCs w:val="24"/>
        </w:rPr>
        <w:drawing>
          <wp:inline distT="0" distB="0" distL="0" distR="0" wp14:anchorId="498AA85F" wp14:editId="676A3042">
            <wp:extent cx="5134452" cy="2544076"/>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a:stretch>
                      <a:fillRect/>
                    </a:stretch>
                  </pic:blipFill>
                  <pic:spPr>
                    <a:xfrm>
                      <a:off x="0" y="0"/>
                      <a:ext cx="5134452" cy="2544076"/>
                    </a:xfrm>
                    <a:prstGeom prst="rect">
                      <a:avLst/>
                    </a:prstGeom>
                    <a:ln/>
                  </pic:spPr>
                </pic:pic>
              </a:graphicData>
            </a:graphic>
          </wp:inline>
        </w:drawing>
      </w:r>
    </w:p>
    <w:p w14:paraId="7A714CAF" w14:textId="77777777" w:rsidR="00FB36C5" w:rsidRPr="00405ECB" w:rsidRDefault="0042655A" w:rsidP="00405ECB">
      <w:pPr>
        <w:spacing w:after="0" w:line="276" w:lineRule="auto"/>
        <w:ind w:hanging="2"/>
        <w:jc w:val="center"/>
        <w:rPr>
          <w:rFonts w:asciiTheme="majorHAnsi" w:hAnsiTheme="majorHAnsi" w:cstheme="majorHAnsi"/>
          <w:sz w:val="24"/>
          <w:szCs w:val="24"/>
        </w:rPr>
      </w:pPr>
      <w:r w:rsidRPr="00405ECB">
        <w:rPr>
          <w:rFonts w:asciiTheme="majorHAnsi" w:hAnsiTheme="majorHAnsi" w:cstheme="majorHAnsi"/>
          <w:b/>
          <w:color w:val="000000"/>
          <w:sz w:val="24"/>
          <w:szCs w:val="24"/>
        </w:rPr>
        <w:t xml:space="preserve">      </w:t>
      </w:r>
    </w:p>
    <w:p w14:paraId="6797C4C4" w14:textId="77777777" w:rsidR="00FB36C5" w:rsidRPr="00405ECB" w:rsidRDefault="00FB36C5" w:rsidP="00405ECB">
      <w:pPr>
        <w:spacing w:after="0" w:line="276" w:lineRule="auto"/>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p>
    <w:p w14:paraId="44648252" w14:textId="77777777" w:rsidR="00FB36C5" w:rsidRPr="00405ECB" w:rsidRDefault="0042655A"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b/>
          <w:sz w:val="24"/>
          <w:szCs w:val="24"/>
        </w:rPr>
        <w:t xml:space="preserve">Figure </w:t>
      </w:r>
      <w:proofErr w:type="gramStart"/>
      <w:r w:rsidRPr="00405ECB">
        <w:rPr>
          <w:rFonts w:asciiTheme="majorHAnsi" w:hAnsiTheme="majorHAnsi" w:cstheme="majorHAnsi"/>
          <w:b/>
          <w:sz w:val="24"/>
          <w:szCs w:val="24"/>
        </w:rPr>
        <w:t>1</w:t>
      </w:r>
      <w:r w:rsidRPr="00405ECB">
        <w:rPr>
          <w:rFonts w:asciiTheme="majorHAnsi" w:hAnsiTheme="majorHAnsi" w:cstheme="majorHAnsi"/>
          <w:sz w:val="24"/>
          <w:szCs w:val="24"/>
        </w:rPr>
        <w:t xml:space="preserve"> .</w:t>
      </w:r>
      <w:proofErr w:type="gramEnd"/>
      <w:r w:rsidRPr="00405ECB">
        <w:rPr>
          <w:rFonts w:asciiTheme="majorHAnsi" w:hAnsiTheme="majorHAnsi" w:cstheme="majorHAnsi"/>
          <w:sz w:val="24"/>
          <w:szCs w:val="24"/>
        </w:rPr>
        <w:t xml:space="preserve"> Distribution of DHF Cases in Deli Serdang Regency</w:t>
      </w:r>
    </w:p>
    <w:p w14:paraId="7741C38D" w14:textId="77777777" w:rsidR="00A50F26" w:rsidRPr="00405ECB" w:rsidRDefault="00A50F26" w:rsidP="00405ECB">
      <w:pPr>
        <w:spacing w:after="0" w:line="276" w:lineRule="auto"/>
        <w:ind w:firstLine="720"/>
        <w:jc w:val="both"/>
        <w:rPr>
          <w:rFonts w:asciiTheme="majorHAnsi" w:hAnsiTheme="majorHAnsi" w:cstheme="majorHAnsi"/>
          <w:sz w:val="24"/>
          <w:szCs w:val="24"/>
        </w:rPr>
      </w:pPr>
    </w:p>
    <w:p w14:paraId="012B2632" w14:textId="48B5887B" w:rsidR="00A50F26" w:rsidRPr="00405ECB" w:rsidRDefault="00A50F26" w:rsidP="00405ECB">
      <w:pPr>
        <w:spacing w:after="0" w:line="276" w:lineRule="auto"/>
        <w:ind w:firstLine="720"/>
        <w:jc w:val="both"/>
        <w:rPr>
          <w:rFonts w:asciiTheme="majorHAnsi" w:hAnsiTheme="majorHAnsi" w:cstheme="majorHAnsi"/>
          <w:sz w:val="24"/>
          <w:szCs w:val="24"/>
        </w:rPr>
      </w:pPr>
      <w:r w:rsidRPr="00405ECB">
        <w:rPr>
          <w:rFonts w:asciiTheme="majorHAnsi" w:hAnsiTheme="majorHAnsi" w:cstheme="majorHAnsi"/>
          <w:sz w:val="24"/>
          <w:szCs w:val="24"/>
        </w:rPr>
        <w:t xml:space="preserve">The spread of dengue fever cases in Deli Serdang Regency occurred in several sub-districts, so several did not experience dengue cases. Based on the research results, the most points were in Tanjung </w:t>
      </w:r>
      <w:proofErr w:type="spellStart"/>
      <w:r w:rsidRPr="00405ECB">
        <w:rPr>
          <w:rFonts w:asciiTheme="majorHAnsi" w:hAnsiTheme="majorHAnsi" w:cstheme="majorHAnsi"/>
          <w:sz w:val="24"/>
          <w:szCs w:val="24"/>
        </w:rPr>
        <w:t>Morawa</w:t>
      </w:r>
      <w:proofErr w:type="spellEnd"/>
      <w:r w:rsidRPr="00405ECB">
        <w:rPr>
          <w:rFonts w:asciiTheme="majorHAnsi" w:hAnsiTheme="majorHAnsi" w:cstheme="majorHAnsi"/>
          <w:sz w:val="24"/>
          <w:szCs w:val="24"/>
        </w:rPr>
        <w:t xml:space="preserve"> District, with 34 points, including Bandar </w:t>
      </w:r>
      <w:proofErr w:type="spellStart"/>
      <w:r w:rsidRPr="00405ECB">
        <w:rPr>
          <w:rFonts w:asciiTheme="majorHAnsi" w:hAnsiTheme="majorHAnsi" w:cstheme="majorHAnsi"/>
          <w:sz w:val="24"/>
          <w:szCs w:val="24"/>
        </w:rPr>
        <w:t>Labuhan</w:t>
      </w:r>
      <w:proofErr w:type="spellEnd"/>
      <w:r w:rsidRPr="00405ECB">
        <w:rPr>
          <w:rFonts w:asciiTheme="majorHAnsi" w:hAnsiTheme="majorHAnsi" w:cstheme="majorHAnsi"/>
          <w:sz w:val="24"/>
          <w:szCs w:val="24"/>
        </w:rPr>
        <w:t xml:space="preserve"> with two people, </w:t>
      </w:r>
      <w:proofErr w:type="spellStart"/>
      <w:r w:rsidRPr="00405ECB">
        <w:rPr>
          <w:rFonts w:asciiTheme="majorHAnsi" w:hAnsiTheme="majorHAnsi" w:cstheme="majorHAnsi"/>
          <w:sz w:val="24"/>
          <w:szCs w:val="24"/>
        </w:rPr>
        <w:t>Limau</w:t>
      </w:r>
      <w:proofErr w:type="spellEnd"/>
      <w:r w:rsidRPr="00405ECB">
        <w:rPr>
          <w:rFonts w:asciiTheme="majorHAnsi" w:hAnsiTheme="majorHAnsi" w:cstheme="majorHAnsi"/>
          <w:sz w:val="24"/>
          <w:szCs w:val="24"/>
        </w:rPr>
        <w:t xml:space="preserve"> Manis with 32 people, and Deli Tua District with 2 cases. Next, the distribution of cases is analyzed using the method of average nearest neighbor analysis to determine the distribution pattern. The indicator used is the nearest neighbor index number by considering the average. </w:t>
      </w:r>
    </w:p>
    <w:p w14:paraId="28E54A4F" w14:textId="77777777" w:rsidR="00776027" w:rsidRPr="00405ECB" w:rsidRDefault="00776027" w:rsidP="00405ECB">
      <w:pPr>
        <w:spacing w:after="0" w:line="276" w:lineRule="auto"/>
        <w:ind w:firstLine="720"/>
        <w:jc w:val="both"/>
        <w:rPr>
          <w:rFonts w:asciiTheme="majorHAnsi" w:hAnsiTheme="majorHAnsi" w:cstheme="majorHAnsi"/>
          <w:sz w:val="24"/>
          <w:szCs w:val="24"/>
        </w:rPr>
      </w:pPr>
    </w:p>
    <w:p w14:paraId="351C5E3D" w14:textId="77777777" w:rsidR="00776027" w:rsidRPr="00405ECB" w:rsidRDefault="00776027" w:rsidP="00405ECB">
      <w:pPr>
        <w:spacing w:after="0" w:line="276" w:lineRule="auto"/>
        <w:ind w:firstLine="720"/>
        <w:jc w:val="both"/>
        <w:rPr>
          <w:rFonts w:asciiTheme="majorHAnsi" w:hAnsiTheme="majorHAnsi" w:cstheme="majorHAnsi"/>
          <w:sz w:val="24"/>
          <w:szCs w:val="24"/>
        </w:rPr>
      </w:pPr>
    </w:p>
    <w:p w14:paraId="0FD2B236" w14:textId="3637BF31" w:rsidR="00A50F26" w:rsidRPr="00405ECB" w:rsidRDefault="00A50F26" w:rsidP="00405ECB">
      <w:pPr>
        <w:spacing w:after="0" w:line="276" w:lineRule="auto"/>
        <w:ind w:firstLine="720"/>
        <w:jc w:val="both"/>
        <w:rPr>
          <w:rFonts w:asciiTheme="majorHAnsi" w:hAnsiTheme="majorHAnsi" w:cstheme="majorHAnsi"/>
          <w:sz w:val="24"/>
          <w:szCs w:val="24"/>
        </w:rPr>
      </w:pPr>
      <w:r w:rsidRPr="00405ECB">
        <w:rPr>
          <w:rFonts w:asciiTheme="majorHAnsi" w:hAnsiTheme="majorHAnsi" w:cstheme="majorHAnsi"/>
          <w:sz w:val="24"/>
          <w:szCs w:val="24"/>
        </w:rPr>
        <w:t xml:space="preserve">Distance from the point of each case coordinate. Based on the results using </w:t>
      </w:r>
      <w:proofErr w:type="spellStart"/>
      <w:r w:rsidRPr="00405ECB">
        <w:rPr>
          <w:rFonts w:asciiTheme="majorHAnsi" w:hAnsiTheme="majorHAnsi" w:cstheme="majorHAnsi"/>
          <w:sz w:val="24"/>
          <w:szCs w:val="24"/>
        </w:rPr>
        <w:t>Stascan</w:t>
      </w:r>
      <w:proofErr w:type="spellEnd"/>
      <w:r w:rsidRPr="00405ECB">
        <w:rPr>
          <w:rFonts w:asciiTheme="majorHAnsi" w:hAnsiTheme="majorHAnsi" w:cstheme="majorHAnsi"/>
          <w:sz w:val="24"/>
          <w:szCs w:val="24"/>
        </w:rPr>
        <w:t xml:space="preserve">, there are 4 clusters with the most likely cluster. There were 14 cases, p-value &lt;0.0001; RR: 2.28; radius: 6.45 km, which means there is a grouping of instances (groups) that are most at risk, having a risk level of 2.28 times getting dengue fever for sufferers who are inside the cluster compared to sufferers who are outside the group with a cluster radius of 6, 45 km. The second cluster contained 9 cases, p-value &lt;0.00001; RR: 4.84; radius: 9.08 km, which means that there is a grouping of instances (groups) that are most at risk, having a risk </w:t>
      </w:r>
      <w:r w:rsidRPr="00405ECB">
        <w:rPr>
          <w:rFonts w:asciiTheme="majorHAnsi" w:hAnsiTheme="majorHAnsi" w:cstheme="majorHAnsi"/>
          <w:sz w:val="24"/>
          <w:szCs w:val="24"/>
        </w:rPr>
        <w:lastRenderedPageBreak/>
        <w:t>level of 4.84 times getting dengue fever for sufferers who are inside the cluster compared to sufferers who are outside the group with a cluster radius of 9, 08 km.</w:t>
      </w:r>
    </w:p>
    <w:p w14:paraId="67F6CA2F" w14:textId="210B8AAD" w:rsidR="00FB36C5" w:rsidRPr="00405ECB" w:rsidRDefault="00A50F26" w:rsidP="00405ECB">
      <w:pPr>
        <w:spacing w:after="0" w:line="276" w:lineRule="auto"/>
        <w:ind w:firstLine="720"/>
        <w:jc w:val="both"/>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r w:rsidRPr="00405ECB">
        <w:rPr>
          <w:rFonts w:asciiTheme="majorHAnsi" w:hAnsiTheme="majorHAnsi" w:cstheme="majorHAnsi"/>
          <w:sz w:val="24"/>
          <w:szCs w:val="24"/>
        </w:rPr>
        <w:t xml:space="preserve">The third cluster contained 7 cases, p-value &lt;0.0001; RR: 5.18; radius: 4.48 km, which means that there is a grouping of instances (clusters) that are most at risk, having a risk level of 5.18 times getting dengue fever for sufferers who are inside the group compared to sufferers who are </w:t>
      </w:r>
      <w:r w:rsidRPr="00405ECB">
        <w:rPr>
          <w:rFonts w:asciiTheme="majorHAnsi" w:hAnsiTheme="majorHAnsi" w:cstheme="majorHAnsi"/>
          <w:sz w:val="24"/>
          <w:szCs w:val="24"/>
        </w:rPr>
        <w:t>outside the group with a cluster radius of 4, 48 km. The fourth cluster contained 6 cases, p-value &lt;0.00001; RR: 3.86; radius: 3.83 km, which means that there is a grouping of instances (clusters) that are most at risk, having a risk level of 3.86 times of getting dengue fever for sufferers who are inside the group compared to sufferers who are outside the group with a cluster radius of 3, 83 km, as shown below:</w:t>
      </w:r>
    </w:p>
    <w:p w14:paraId="01B75A79" w14:textId="77777777" w:rsidR="00FB36C5" w:rsidRPr="00405ECB" w:rsidRDefault="0042655A"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noProof/>
          <w:sz w:val="24"/>
          <w:szCs w:val="24"/>
        </w:rPr>
        <w:drawing>
          <wp:inline distT="0" distB="0" distL="0" distR="0" wp14:anchorId="6FCA3575" wp14:editId="3B71AF68">
            <wp:extent cx="5547327" cy="2683577"/>
            <wp:effectExtent l="0" t="0" r="0" b="0"/>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5547327" cy="2683577"/>
                    </a:xfrm>
                    <a:prstGeom prst="rect">
                      <a:avLst/>
                    </a:prstGeom>
                    <a:ln/>
                  </pic:spPr>
                </pic:pic>
              </a:graphicData>
            </a:graphic>
          </wp:inline>
        </w:drawing>
      </w:r>
    </w:p>
    <w:p w14:paraId="72168EEC" w14:textId="77777777" w:rsidR="00FB36C5" w:rsidRPr="00405ECB" w:rsidRDefault="00FB36C5" w:rsidP="00405ECB">
      <w:pPr>
        <w:spacing w:after="0" w:line="276" w:lineRule="auto"/>
        <w:ind w:hanging="2"/>
        <w:jc w:val="center"/>
        <w:rPr>
          <w:rFonts w:asciiTheme="majorHAnsi" w:hAnsiTheme="majorHAnsi" w:cstheme="majorHAnsi"/>
          <w:sz w:val="24"/>
          <w:szCs w:val="24"/>
        </w:rPr>
      </w:pPr>
    </w:p>
    <w:p w14:paraId="6675F210" w14:textId="77777777" w:rsidR="00FB36C5" w:rsidRPr="00405ECB" w:rsidRDefault="00FB36C5"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p>
    <w:p w14:paraId="55D44A2B" w14:textId="77777777" w:rsidR="00FB36C5" w:rsidRPr="00405ECB" w:rsidRDefault="0042655A"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b/>
          <w:sz w:val="24"/>
          <w:szCs w:val="24"/>
        </w:rPr>
        <w:t>Figure 2.</w:t>
      </w:r>
      <w:r w:rsidRPr="00405ECB">
        <w:rPr>
          <w:rFonts w:asciiTheme="majorHAnsi" w:hAnsiTheme="majorHAnsi" w:cstheme="majorHAnsi"/>
          <w:sz w:val="24"/>
          <w:szCs w:val="24"/>
        </w:rPr>
        <w:t xml:space="preserve"> Nearest Neighbor Analysis and Distribution of DHF Cases in Deli Serdang Regency in 2023</w:t>
      </w:r>
    </w:p>
    <w:p w14:paraId="4C2E4536" w14:textId="77777777" w:rsidR="00FB36C5" w:rsidRPr="00405ECB" w:rsidRDefault="00FB36C5" w:rsidP="00405ECB">
      <w:pPr>
        <w:spacing w:after="0" w:line="276" w:lineRule="auto"/>
        <w:ind w:hanging="2"/>
        <w:rPr>
          <w:rFonts w:asciiTheme="majorHAnsi" w:hAnsiTheme="majorHAnsi" w:cstheme="majorHAnsi"/>
          <w:sz w:val="24"/>
          <w:szCs w:val="24"/>
        </w:rPr>
      </w:pPr>
    </w:p>
    <w:p w14:paraId="2622108B" w14:textId="77777777" w:rsidR="00FB36C5" w:rsidRPr="00405ECB" w:rsidRDefault="0042655A" w:rsidP="00405ECB">
      <w:pPr>
        <w:spacing w:after="0" w:line="276" w:lineRule="auto"/>
        <w:ind w:firstLine="720"/>
        <w:jc w:val="both"/>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r w:rsidRPr="00405ECB">
        <w:rPr>
          <w:rFonts w:asciiTheme="majorHAnsi" w:hAnsiTheme="majorHAnsi" w:cstheme="majorHAnsi"/>
          <w:sz w:val="24"/>
          <w:szCs w:val="24"/>
        </w:rPr>
        <w:t>Next, we can see the distribution of cases based on population density in Deli Serdang Regency:</w:t>
      </w:r>
    </w:p>
    <w:p w14:paraId="03E17BDE" w14:textId="77777777" w:rsidR="00FB36C5" w:rsidRPr="00405ECB" w:rsidRDefault="0042655A" w:rsidP="00405ECB">
      <w:pPr>
        <w:spacing w:after="0" w:line="276" w:lineRule="auto"/>
        <w:ind w:hanging="2"/>
        <w:rPr>
          <w:rFonts w:asciiTheme="majorHAnsi" w:hAnsiTheme="majorHAnsi" w:cstheme="majorHAnsi"/>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noProof/>
          <w:sz w:val="24"/>
          <w:szCs w:val="24"/>
        </w:rPr>
        <w:lastRenderedPageBreak/>
        <w:drawing>
          <wp:inline distT="0" distB="0" distL="0" distR="0" wp14:anchorId="136303D2" wp14:editId="4DBA9BEA">
            <wp:extent cx="5943600" cy="2474686"/>
            <wp:effectExtent l="0" t="0" r="0" b="1905"/>
            <wp:docPr id="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1"/>
                    <a:srcRect/>
                    <a:stretch>
                      <a:fillRect/>
                    </a:stretch>
                  </pic:blipFill>
                  <pic:spPr>
                    <a:xfrm>
                      <a:off x="0" y="0"/>
                      <a:ext cx="5948896" cy="2476891"/>
                    </a:xfrm>
                    <a:prstGeom prst="rect">
                      <a:avLst/>
                    </a:prstGeom>
                    <a:ln/>
                  </pic:spPr>
                </pic:pic>
              </a:graphicData>
            </a:graphic>
          </wp:inline>
        </w:drawing>
      </w:r>
    </w:p>
    <w:p w14:paraId="7C599F2E" w14:textId="77777777" w:rsidR="00FB36C5" w:rsidRPr="00405ECB" w:rsidRDefault="00FB36C5" w:rsidP="00405ECB">
      <w:pPr>
        <w:spacing w:after="0" w:line="276" w:lineRule="auto"/>
        <w:ind w:hanging="2"/>
        <w:rPr>
          <w:rFonts w:asciiTheme="majorHAnsi" w:hAnsiTheme="majorHAnsi" w:cstheme="majorHAnsi"/>
          <w:sz w:val="24"/>
          <w:szCs w:val="24"/>
        </w:rPr>
      </w:pPr>
    </w:p>
    <w:p w14:paraId="153C9602" w14:textId="77777777" w:rsidR="00FB36C5" w:rsidRPr="00405ECB" w:rsidRDefault="00FB36C5"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p>
    <w:p w14:paraId="50538C96" w14:textId="77777777" w:rsidR="00FB36C5" w:rsidRPr="00405ECB" w:rsidRDefault="0042655A"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b/>
          <w:sz w:val="24"/>
          <w:szCs w:val="24"/>
        </w:rPr>
        <w:t>Figure 3</w:t>
      </w:r>
      <w:r w:rsidRPr="00405ECB">
        <w:rPr>
          <w:rFonts w:asciiTheme="majorHAnsi" w:hAnsiTheme="majorHAnsi" w:cstheme="majorHAnsi"/>
          <w:sz w:val="24"/>
          <w:szCs w:val="24"/>
        </w:rPr>
        <w:t>. Map of Case Distribution Based on Population Density in Deli Serdang Regency in 2023</w:t>
      </w:r>
    </w:p>
    <w:p w14:paraId="304549BC" w14:textId="77777777" w:rsidR="00FB36C5" w:rsidRPr="00405ECB" w:rsidRDefault="00FB36C5" w:rsidP="00405ECB">
      <w:pPr>
        <w:spacing w:after="0" w:line="276" w:lineRule="auto"/>
        <w:ind w:hanging="2"/>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p>
    <w:p w14:paraId="6D2A72B5" w14:textId="77777777" w:rsidR="00FB36C5" w:rsidRPr="00405ECB" w:rsidRDefault="0042655A"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noProof/>
          <w:sz w:val="24"/>
          <w:szCs w:val="24"/>
        </w:rPr>
        <w:drawing>
          <wp:inline distT="0" distB="0" distL="0" distR="0" wp14:anchorId="1B889CF8" wp14:editId="62FA83F3">
            <wp:extent cx="5951597" cy="2535009"/>
            <wp:effectExtent l="0" t="0" r="0" b="0"/>
            <wp:docPr id="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5951597" cy="2535009"/>
                    </a:xfrm>
                    <a:prstGeom prst="rect">
                      <a:avLst/>
                    </a:prstGeom>
                    <a:ln/>
                  </pic:spPr>
                </pic:pic>
              </a:graphicData>
            </a:graphic>
          </wp:inline>
        </w:drawing>
      </w:r>
    </w:p>
    <w:p w14:paraId="107F798D" w14:textId="77777777" w:rsidR="00FB36C5" w:rsidRPr="00405ECB" w:rsidRDefault="00FB36C5" w:rsidP="00405ECB">
      <w:pPr>
        <w:spacing w:after="0" w:line="276" w:lineRule="auto"/>
        <w:ind w:hanging="2"/>
        <w:jc w:val="center"/>
        <w:rPr>
          <w:rFonts w:asciiTheme="majorHAnsi" w:hAnsiTheme="majorHAnsi" w:cstheme="majorHAnsi"/>
          <w:sz w:val="24"/>
          <w:szCs w:val="24"/>
        </w:rPr>
      </w:pPr>
    </w:p>
    <w:p w14:paraId="0566CA01" w14:textId="77777777" w:rsidR="00FB36C5" w:rsidRPr="00405ECB" w:rsidRDefault="00FB36C5"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p>
    <w:p w14:paraId="5360292E" w14:textId="77777777" w:rsidR="00FB36C5" w:rsidRPr="00405ECB" w:rsidRDefault="0042655A" w:rsidP="00405ECB">
      <w:pPr>
        <w:spacing w:after="0" w:line="276" w:lineRule="auto"/>
        <w:ind w:hanging="2"/>
        <w:jc w:val="center"/>
        <w:rPr>
          <w:rFonts w:asciiTheme="majorHAnsi" w:hAnsiTheme="majorHAnsi" w:cstheme="majorHAnsi"/>
          <w:sz w:val="24"/>
          <w:szCs w:val="24"/>
        </w:rPr>
        <w:sectPr w:rsidR="00FB36C5" w:rsidRPr="00405ECB">
          <w:type w:val="continuous"/>
          <w:pgSz w:w="12240" w:h="15840"/>
          <w:pgMar w:top="1440" w:right="1440" w:bottom="1440" w:left="1440" w:header="708" w:footer="227" w:gutter="0"/>
          <w:cols w:space="720"/>
        </w:sectPr>
      </w:pPr>
      <w:r w:rsidRPr="00405ECB">
        <w:rPr>
          <w:rFonts w:asciiTheme="majorHAnsi" w:hAnsiTheme="majorHAnsi" w:cstheme="majorHAnsi"/>
          <w:b/>
          <w:sz w:val="24"/>
          <w:szCs w:val="24"/>
        </w:rPr>
        <w:t>Figure 4</w:t>
      </w:r>
      <w:r w:rsidRPr="00405ECB">
        <w:rPr>
          <w:rFonts w:asciiTheme="majorHAnsi" w:hAnsiTheme="majorHAnsi" w:cstheme="majorHAnsi"/>
          <w:sz w:val="24"/>
          <w:szCs w:val="24"/>
        </w:rPr>
        <w:t>. Buffer Map of DHF Cases in Deli Serdang Regency in 2023</w:t>
      </w:r>
    </w:p>
    <w:p w14:paraId="2B18B8FB" w14:textId="77777777" w:rsidR="00FB36C5" w:rsidRPr="00405ECB" w:rsidRDefault="00FB36C5" w:rsidP="00405ECB">
      <w:pPr>
        <w:spacing w:after="0" w:line="276" w:lineRule="auto"/>
        <w:ind w:right="172" w:firstLine="720"/>
        <w:jc w:val="both"/>
        <w:rPr>
          <w:rFonts w:asciiTheme="majorHAnsi" w:hAnsiTheme="majorHAnsi" w:cstheme="majorHAnsi"/>
          <w:sz w:val="24"/>
          <w:szCs w:val="24"/>
        </w:rPr>
      </w:pPr>
    </w:p>
    <w:p w14:paraId="6883C80B" w14:textId="4C8051DD" w:rsidR="00C62832" w:rsidRPr="00405ECB" w:rsidRDefault="00B03DFF" w:rsidP="00405ECB">
      <w:pPr>
        <w:spacing w:after="0" w:line="276" w:lineRule="auto"/>
        <w:ind w:right="172" w:firstLine="720"/>
        <w:jc w:val="both"/>
        <w:rPr>
          <w:rFonts w:asciiTheme="majorHAnsi" w:hAnsiTheme="majorHAnsi" w:cstheme="majorHAnsi"/>
          <w:sz w:val="24"/>
          <w:szCs w:val="24"/>
        </w:rPr>
      </w:pPr>
      <w:r w:rsidRPr="00405ECB">
        <w:rPr>
          <w:rFonts w:asciiTheme="majorHAnsi" w:hAnsiTheme="majorHAnsi" w:cstheme="majorHAnsi"/>
          <w:sz w:val="24"/>
          <w:szCs w:val="24"/>
        </w:rPr>
        <w:t xml:space="preserve">Referring to the picture above, the case point for dengue fever sufferers is 500 - 1500 m from the </w:t>
      </w:r>
      <w:proofErr w:type="spellStart"/>
      <w:r w:rsidRPr="00405ECB">
        <w:rPr>
          <w:rFonts w:asciiTheme="majorHAnsi" w:hAnsiTheme="majorHAnsi" w:cstheme="majorHAnsi"/>
          <w:sz w:val="24"/>
          <w:szCs w:val="24"/>
        </w:rPr>
        <w:t>Puskesmas</w:t>
      </w:r>
      <w:proofErr w:type="spellEnd"/>
      <w:r w:rsidRPr="00405ECB">
        <w:rPr>
          <w:rFonts w:asciiTheme="majorHAnsi" w:hAnsiTheme="majorHAnsi" w:cstheme="majorHAnsi"/>
          <w:sz w:val="24"/>
          <w:szCs w:val="24"/>
        </w:rPr>
        <w:t>. Data on dengue fever sufferers in each community health center buffer in Deli Serdang Regency contained 81 cases.</w:t>
      </w:r>
    </w:p>
    <w:p w14:paraId="4B3EC68C" w14:textId="77777777" w:rsidR="00714C3A" w:rsidRPr="00405ECB" w:rsidRDefault="00714C3A" w:rsidP="00405ECB">
      <w:pPr>
        <w:spacing w:after="0" w:line="276" w:lineRule="auto"/>
        <w:ind w:right="172" w:firstLine="720"/>
        <w:jc w:val="both"/>
        <w:rPr>
          <w:rFonts w:asciiTheme="majorHAnsi" w:hAnsiTheme="majorHAnsi" w:cstheme="majorHAnsi"/>
          <w:sz w:val="24"/>
          <w:szCs w:val="24"/>
        </w:rPr>
      </w:pPr>
    </w:p>
    <w:p w14:paraId="22445FFF" w14:textId="77777777" w:rsidR="00714C3A" w:rsidRPr="00405ECB" w:rsidRDefault="00714C3A" w:rsidP="00405ECB">
      <w:pPr>
        <w:spacing w:after="0" w:line="276" w:lineRule="auto"/>
        <w:ind w:right="172" w:firstLine="720"/>
        <w:jc w:val="both"/>
        <w:rPr>
          <w:rFonts w:asciiTheme="majorHAnsi" w:hAnsiTheme="majorHAnsi" w:cstheme="majorHAnsi"/>
          <w:sz w:val="24"/>
          <w:szCs w:val="24"/>
        </w:rPr>
      </w:pPr>
    </w:p>
    <w:p w14:paraId="4E79BF11" w14:textId="77777777" w:rsidR="00714C3A" w:rsidRPr="00405ECB" w:rsidRDefault="00714C3A" w:rsidP="00405ECB">
      <w:pPr>
        <w:pBdr>
          <w:bottom w:val="single" w:sz="4" w:space="1" w:color="FFFFFF"/>
        </w:pBdr>
        <w:tabs>
          <w:tab w:val="right" w:pos="567"/>
        </w:tabs>
        <w:spacing w:after="0" w:line="276" w:lineRule="auto"/>
        <w:ind w:hanging="2"/>
        <w:jc w:val="both"/>
        <w:rPr>
          <w:rFonts w:asciiTheme="majorHAnsi" w:hAnsiTheme="majorHAnsi" w:cstheme="majorHAnsi"/>
          <w:b/>
          <w:color w:val="000000"/>
          <w:sz w:val="24"/>
          <w:szCs w:val="24"/>
        </w:rPr>
      </w:pPr>
    </w:p>
    <w:p w14:paraId="05E72F6D" w14:textId="34236F83" w:rsidR="00FB36C5" w:rsidRPr="00405ECB" w:rsidRDefault="0042655A" w:rsidP="00405ECB">
      <w:pPr>
        <w:pBdr>
          <w:bottom w:val="single" w:sz="4" w:space="1" w:color="FFFFFF"/>
        </w:pBdr>
        <w:tabs>
          <w:tab w:val="right" w:pos="567"/>
        </w:tabs>
        <w:spacing w:after="0" w:line="276" w:lineRule="auto"/>
        <w:ind w:hanging="2"/>
        <w:jc w:val="both"/>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Larvae Presence Variable</w:t>
      </w:r>
    </w:p>
    <w:p w14:paraId="22A213AD" w14:textId="29F287DD" w:rsidR="00FB36C5" w:rsidRPr="00405ECB" w:rsidRDefault="0042655A" w:rsidP="00405ECB">
      <w:pPr>
        <w:tabs>
          <w:tab w:val="right" w:pos="567"/>
        </w:tabs>
        <w:spacing w:after="0" w:line="276" w:lineRule="auto"/>
        <w:ind w:right="172"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ab/>
      </w:r>
      <w:r w:rsidRPr="00405ECB">
        <w:rPr>
          <w:rFonts w:asciiTheme="majorHAnsi" w:hAnsiTheme="majorHAnsi" w:cstheme="majorHAnsi"/>
          <w:color w:val="000000"/>
          <w:sz w:val="24"/>
          <w:szCs w:val="24"/>
        </w:rPr>
        <w:tab/>
      </w:r>
      <w:r w:rsidRPr="00405ECB">
        <w:rPr>
          <w:rFonts w:asciiTheme="majorHAnsi" w:hAnsiTheme="majorHAnsi" w:cstheme="majorHAnsi"/>
          <w:color w:val="000000"/>
          <w:sz w:val="24"/>
          <w:szCs w:val="24"/>
        </w:rPr>
        <w:tab/>
        <w:t>Univariate analysis presents descriptive data including numbers and</w:t>
      </w:r>
      <w:r w:rsidR="00E10074" w:rsidRPr="00405ECB">
        <w:rPr>
          <w:rFonts w:asciiTheme="majorHAnsi" w:hAnsiTheme="majorHAnsi" w:cstheme="majorHAnsi"/>
          <w:color w:val="000000"/>
          <w:sz w:val="24"/>
          <w:szCs w:val="24"/>
        </w:rPr>
        <w:t xml:space="preserve"> </w:t>
      </w:r>
      <w:r w:rsidRPr="00405ECB">
        <w:rPr>
          <w:rFonts w:asciiTheme="majorHAnsi" w:hAnsiTheme="majorHAnsi" w:cstheme="majorHAnsi"/>
          <w:color w:val="000000"/>
          <w:sz w:val="24"/>
          <w:szCs w:val="24"/>
        </w:rPr>
        <w:t xml:space="preserve">percentages. The table shows that of the </w:t>
      </w:r>
      <w:r w:rsidR="008A1345" w:rsidRPr="00405ECB">
        <w:rPr>
          <w:rFonts w:asciiTheme="majorHAnsi" w:hAnsiTheme="majorHAnsi" w:cstheme="majorHAnsi"/>
          <w:sz w:val="24"/>
          <w:szCs w:val="24"/>
        </w:rPr>
        <w:t>Two hundred houses were examined, and 74 homes were found to have larvae. So, the house</w:t>
      </w:r>
      <w:r w:rsidR="008A1345" w:rsidRPr="00405ECB">
        <w:rPr>
          <w:rStyle w:val="Emphasis"/>
          <w:rFonts w:asciiTheme="majorHAnsi" w:hAnsiTheme="majorHAnsi" w:cstheme="majorHAnsi"/>
          <w:color w:val="0E101A"/>
          <w:sz w:val="24"/>
          <w:szCs w:val="24"/>
        </w:rPr>
        <w:t> index</w:t>
      </w:r>
      <w:r w:rsidR="008A1345" w:rsidRPr="00405ECB">
        <w:rPr>
          <w:rFonts w:asciiTheme="majorHAnsi" w:hAnsiTheme="majorHAnsi" w:cstheme="majorHAnsi"/>
          <w:sz w:val="24"/>
          <w:szCs w:val="24"/>
        </w:rPr>
        <w:t xml:space="preserve"> earned 37, which shows </w:t>
      </w:r>
      <w:r w:rsidR="00AC46ED" w:rsidRPr="00405ECB">
        <w:rPr>
          <w:rFonts w:asciiTheme="majorHAnsi" w:hAnsiTheme="majorHAnsi" w:cstheme="majorHAnsi"/>
          <w:sz w:val="24"/>
          <w:szCs w:val="24"/>
        </w:rPr>
        <w:t>in</w:t>
      </w:r>
      <w:r w:rsidR="00AC46ED" w:rsidRPr="00405ECB">
        <w:rPr>
          <w:rStyle w:val="Emphasis"/>
          <w:rFonts w:asciiTheme="majorHAnsi" w:hAnsiTheme="majorHAnsi" w:cstheme="majorHAnsi"/>
          <w:color w:val="0E101A"/>
          <w:sz w:val="24"/>
          <w:szCs w:val="24"/>
        </w:rPr>
        <w:t xml:space="preserve"> density</w:t>
      </w:r>
      <w:r w:rsidR="008A1345" w:rsidRPr="00405ECB">
        <w:rPr>
          <w:rStyle w:val="Emphasis"/>
          <w:rFonts w:asciiTheme="majorHAnsi" w:hAnsiTheme="majorHAnsi" w:cstheme="majorHAnsi"/>
          <w:color w:val="0E101A"/>
          <w:sz w:val="24"/>
          <w:szCs w:val="24"/>
        </w:rPr>
        <w:t xml:space="preserve"> figures</w:t>
      </w:r>
      <w:r w:rsidR="008A1345" w:rsidRPr="00405ECB">
        <w:rPr>
          <w:rFonts w:asciiTheme="majorHAnsi" w:hAnsiTheme="majorHAnsi" w:cstheme="majorHAnsi"/>
          <w:sz w:val="24"/>
          <w:szCs w:val="24"/>
        </w:rPr>
        <w:t xml:space="preserve"> at medium larva density </w:t>
      </w:r>
      <w:r w:rsidR="00453734" w:rsidRPr="00405ECB">
        <w:rPr>
          <w:rFonts w:asciiTheme="majorHAnsi" w:hAnsiTheme="majorHAnsi" w:cstheme="majorHAnsi"/>
          <w:color w:val="000000"/>
          <w:sz w:val="24"/>
          <w:szCs w:val="24"/>
        </w:rPr>
        <w:lastRenderedPageBreak/>
        <w:fldChar w:fldCharType="begin" w:fldLock="1"/>
      </w:r>
      <w:r w:rsidR="00453734" w:rsidRPr="00405ECB">
        <w:rPr>
          <w:rFonts w:asciiTheme="majorHAnsi" w:hAnsiTheme="majorHAnsi" w:cstheme="majorHAnsi"/>
          <w:color w:val="000000"/>
          <w:sz w:val="24"/>
          <w:szCs w:val="24"/>
        </w:rPr>
        <w:instrText>ADDIN CSL_CITATION {"citationItems":[{"id":"ITEM-1","itemData":{"author":[{"dropping-particle":"","family":"Tambunan","given":"Helfi Nolia R","non-dropping-particle":"","parse-names":false,"suffix":""}],"id":"ITEM-1","issued":{"date-parts":[["2013"]]},"publisher":"Universitas Gadjah Mada","title":"Faktor Lingkungan Dan Kejadian Demam Berdarah Dengue (DBD) Daerah Endemis Kecamatan Gading Cempaka Kota Bengkulu Tahun 2012","type":"article"},"uris":["http://www.mendeley.com/documents/?uuid=33c7b594-a1cc-4d12-b627-3be565823bac"]}],"mendeley":{"formattedCitation":"(Tambunan, 2013)","plainTextFormattedCitation":"(Tambunan, 2013)","previouslyFormattedCitation":"(Tambunan, 2013)"},"properties":{"noteIndex":0},"schema":"https://github.com/citation-style-language/schema/raw/master/csl-citation.json"}</w:instrText>
      </w:r>
      <w:r w:rsidR="00453734" w:rsidRPr="00405ECB">
        <w:rPr>
          <w:rFonts w:asciiTheme="majorHAnsi" w:hAnsiTheme="majorHAnsi" w:cstheme="majorHAnsi"/>
          <w:color w:val="000000"/>
          <w:sz w:val="24"/>
          <w:szCs w:val="24"/>
        </w:rPr>
        <w:fldChar w:fldCharType="separate"/>
      </w:r>
      <w:r w:rsidR="00453734" w:rsidRPr="00405ECB">
        <w:rPr>
          <w:rFonts w:asciiTheme="majorHAnsi" w:hAnsiTheme="majorHAnsi" w:cstheme="majorHAnsi"/>
          <w:noProof/>
          <w:color w:val="000000"/>
          <w:sz w:val="24"/>
          <w:szCs w:val="24"/>
        </w:rPr>
        <w:t>(Tambunan, 2013)</w:t>
      </w:r>
      <w:r w:rsidR="00453734" w:rsidRPr="00405ECB">
        <w:rPr>
          <w:rFonts w:asciiTheme="majorHAnsi" w:hAnsiTheme="majorHAnsi" w:cstheme="majorHAnsi"/>
          <w:color w:val="000000"/>
          <w:sz w:val="24"/>
          <w:szCs w:val="24"/>
        </w:rPr>
        <w:fldChar w:fldCharType="end"/>
      </w:r>
      <w:r w:rsidR="008A1345" w:rsidRPr="00405ECB">
        <w:rPr>
          <w:rFonts w:asciiTheme="majorHAnsi" w:hAnsiTheme="majorHAnsi" w:cstheme="majorHAnsi"/>
          <w:sz w:val="24"/>
          <w:szCs w:val="24"/>
        </w:rPr>
        <w:t>. From this table, it can also be obtained that the larvae-free rate (ABJ) is 63%.</w:t>
      </w:r>
      <w:r w:rsidRPr="00405ECB">
        <w:rPr>
          <w:rFonts w:asciiTheme="majorHAnsi" w:hAnsiTheme="majorHAnsi" w:cstheme="majorHAnsi"/>
          <w:sz w:val="24"/>
          <w:szCs w:val="24"/>
        </w:rPr>
        <w:t xml:space="preserve">              </w:t>
      </w:r>
      <m:oMath>
        <m:r>
          <w:rPr>
            <w:rFonts w:ascii="Cambria Math" w:eastAsia="Cambria Math" w:hAnsi="Cambria Math" w:cstheme="majorHAnsi"/>
            <w:sz w:val="24"/>
            <w:szCs w:val="24"/>
          </w:rPr>
          <m:t>House index</m:t>
        </m:r>
        <m:d>
          <m:dPr>
            <m:ctrlPr>
              <w:rPr>
                <w:rFonts w:ascii="Cambria Math" w:eastAsia="Cambria Math" w:hAnsi="Cambria Math" w:cstheme="majorHAnsi"/>
                <w:sz w:val="24"/>
                <w:szCs w:val="24"/>
              </w:rPr>
            </m:ctrlPr>
          </m:dPr>
          <m:e>
            <m:r>
              <w:rPr>
                <w:rFonts w:ascii="Cambria Math" w:eastAsia="Cambria Math" w:hAnsi="Cambria Math" w:cstheme="majorHAnsi"/>
                <w:sz w:val="24"/>
                <w:szCs w:val="24"/>
              </w:rPr>
              <m:t>HI</m:t>
            </m:r>
          </m:e>
        </m:d>
        <m:r>
          <w:rPr>
            <w:rFonts w:ascii="Cambria Math" w:eastAsia="Cambria Math" w:hAnsi="Cambria Math" w:cstheme="majorHAnsi"/>
            <w:sz w:val="24"/>
            <w:szCs w:val="24"/>
          </w:rPr>
          <m:t>=</m:t>
        </m:r>
        <m:f>
          <m:fPr>
            <m:ctrlPr>
              <w:rPr>
                <w:rFonts w:ascii="Cambria Math" w:eastAsia="Cambria Math" w:hAnsi="Cambria Math" w:cstheme="majorHAnsi"/>
                <w:sz w:val="24"/>
                <w:szCs w:val="24"/>
              </w:rPr>
            </m:ctrlPr>
          </m:fPr>
          <m:num>
            <m:r>
              <w:rPr>
                <w:rFonts w:ascii="Cambria Math" w:eastAsia="Cambria Math" w:hAnsi="Cambria Math" w:cstheme="majorHAnsi"/>
                <w:sz w:val="24"/>
                <w:szCs w:val="24"/>
              </w:rPr>
              <m:t>Number of Houses+</m:t>
            </m:r>
          </m:num>
          <m:den>
            <m:r>
              <w:rPr>
                <w:rFonts w:ascii="Cambria Math" w:eastAsia="Cambria Math" w:hAnsi="Cambria Math" w:cstheme="majorHAnsi"/>
                <w:sz w:val="24"/>
                <w:szCs w:val="24"/>
              </w:rPr>
              <m:t>Number of Houses Inspected</m:t>
            </m:r>
          </m:den>
        </m:f>
        <m:r>
          <w:rPr>
            <w:rFonts w:ascii="Cambria Math" w:eastAsia="Cambria Math" w:hAnsi="Cambria Math" w:cstheme="majorHAnsi"/>
            <w:sz w:val="24"/>
            <w:szCs w:val="24"/>
          </w:rPr>
          <m:t>X 100%</m:t>
        </m:r>
      </m:oMath>
    </w:p>
    <w:p w14:paraId="3ED98D65" w14:textId="77777777" w:rsidR="00FB36C5" w:rsidRPr="00405ECB" w:rsidRDefault="0042655A" w:rsidP="00405ECB">
      <w:pPr>
        <w:spacing w:line="276" w:lineRule="auto"/>
        <w:jc w:val="center"/>
        <w:rPr>
          <w:rFonts w:asciiTheme="majorHAnsi" w:eastAsia="Cambria Math" w:hAnsiTheme="majorHAnsi" w:cstheme="majorHAnsi"/>
          <w:sz w:val="24"/>
          <w:szCs w:val="24"/>
        </w:rPr>
      </w:pPr>
      <m:oMathPara>
        <m:oMath>
          <m:r>
            <w:rPr>
              <w:rFonts w:ascii="Cambria Math" w:eastAsia="Cambria Math" w:hAnsi="Cambria Math" w:cstheme="majorHAnsi"/>
              <w:sz w:val="24"/>
              <w:szCs w:val="24"/>
            </w:rPr>
            <m:t>House index</m:t>
          </m:r>
          <m:d>
            <m:dPr>
              <m:ctrlPr>
                <w:rPr>
                  <w:rFonts w:ascii="Cambria Math" w:eastAsia="Cambria Math" w:hAnsi="Cambria Math" w:cstheme="majorHAnsi"/>
                  <w:sz w:val="24"/>
                  <w:szCs w:val="24"/>
                </w:rPr>
              </m:ctrlPr>
            </m:dPr>
            <m:e>
              <m:r>
                <w:rPr>
                  <w:rFonts w:ascii="Cambria Math" w:eastAsia="Cambria Math" w:hAnsi="Cambria Math" w:cstheme="majorHAnsi"/>
                  <w:sz w:val="24"/>
                  <w:szCs w:val="24"/>
                </w:rPr>
                <m:t>HI</m:t>
              </m:r>
            </m:e>
          </m:d>
          <m:r>
            <w:rPr>
              <w:rFonts w:ascii="Cambria Math" w:eastAsia="Cambria Math" w:hAnsi="Cambria Math" w:cstheme="majorHAnsi"/>
              <w:sz w:val="24"/>
              <w:szCs w:val="24"/>
            </w:rPr>
            <m:t>=</m:t>
          </m:r>
          <m:f>
            <m:fPr>
              <m:ctrlPr>
                <w:rPr>
                  <w:rFonts w:ascii="Cambria Math" w:eastAsia="Cambria Math" w:hAnsi="Cambria Math" w:cstheme="majorHAnsi"/>
                  <w:sz w:val="24"/>
                  <w:szCs w:val="24"/>
                </w:rPr>
              </m:ctrlPr>
            </m:fPr>
            <m:num>
              <m:r>
                <w:rPr>
                  <w:rFonts w:ascii="Cambria Math" w:eastAsia="Cambria Math" w:hAnsi="Cambria Math" w:cstheme="majorHAnsi"/>
                  <w:sz w:val="24"/>
                  <w:szCs w:val="24"/>
                </w:rPr>
                <m:t>74</m:t>
              </m:r>
            </m:num>
            <m:den>
              <m:r>
                <w:rPr>
                  <w:rFonts w:ascii="Cambria Math" w:eastAsia="Cambria Math" w:hAnsi="Cambria Math" w:cstheme="majorHAnsi"/>
                  <w:sz w:val="24"/>
                  <w:szCs w:val="24"/>
                </w:rPr>
                <m:t>200</m:t>
              </m:r>
            </m:den>
          </m:f>
          <m:r>
            <w:rPr>
              <w:rFonts w:ascii="Cambria Math" w:eastAsia="Cambria Math" w:hAnsi="Cambria Math" w:cstheme="majorHAnsi"/>
              <w:sz w:val="24"/>
              <w:szCs w:val="24"/>
            </w:rPr>
            <m:t>X 100%</m:t>
          </m:r>
        </m:oMath>
      </m:oMathPara>
    </w:p>
    <w:p w14:paraId="3B122259" w14:textId="77777777" w:rsidR="00FB36C5" w:rsidRPr="00405ECB" w:rsidRDefault="0042655A" w:rsidP="00405ECB">
      <w:pPr>
        <w:tabs>
          <w:tab w:val="right" w:pos="567"/>
        </w:tabs>
        <w:spacing w:after="0" w:line="276" w:lineRule="auto"/>
        <w:ind w:hanging="2"/>
        <w:rPr>
          <w:rFonts w:asciiTheme="majorHAnsi" w:hAnsiTheme="majorHAnsi" w:cstheme="majorHAnsi"/>
          <w:color w:val="000000"/>
          <w:sz w:val="24"/>
          <w:szCs w:val="24"/>
        </w:rPr>
      </w:pPr>
      <w:r w:rsidRPr="00405ECB">
        <w:rPr>
          <w:rFonts w:asciiTheme="majorHAnsi" w:hAnsiTheme="majorHAnsi" w:cstheme="majorHAnsi"/>
          <w:i/>
          <w:color w:val="000000"/>
          <w:sz w:val="24"/>
          <w:szCs w:val="24"/>
        </w:rPr>
        <w:t>House Index</w:t>
      </w:r>
      <w:r w:rsidRPr="00405ECB">
        <w:rPr>
          <w:rFonts w:asciiTheme="majorHAnsi" w:hAnsiTheme="majorHAnsi" w:cstheme="majorHAnsi"/>
          <w:color w:val="000000"/>
          <w:sz w:val="24"/>
          <w:szCs w:val="24"/>
        </w:rPr>
        <w:t xml:space="preserve"> </w:t>
      </w:r>
      <w:r w:rsidRPr="00405ECB">
        <w:rPr>
          <w:rFonts w:asciiTheme="majorHAnsi" w:hAnsiTheme="majorHAnsi" w:cstheme="majorHAnsi"/>
          <w:i/>
          <w:color w:val="000000"/>
          <w:sz w:val="24"/>
          <w:szCs w:val="24"/>
        </w:rPr>
        <w:t>(HI)</w:t>
      </w:r>
      <w:r w:rsidRPr="00405ECB">
        <w:rPr>
          <w:rFonts w:asciiTheme="majorHAnsi" w:hAnsiTheme="majorHAnsi" w:cstheme="majorHAnsi"/>
          <w:color w:val="000000"/>
          <w:sz w:val="24"/>
          <w:szCs w:val="24"/>
        </w:rPr>
        <w:t xml:space="preserve"> = 37 %</w:t>
      </w:r>
    </w:p>
    <w:p w14:paraId="41BC9530" w14:textId="77777777" w:rsidR="00FB36C5" w:rsidRPr="00405ECB" w:rsidRDefault="00FB36C5" w:rsidP="00405ECB">
      <w:pPr>
        <w:tabs>
          <w:tab w:val="right" w:pos="567"/>
        </w:tabs>
        <w:spacing w:after="0" w:line="276" w:lineRule="auto"/>
        <w:ind w:hanging="2"/>
        <w:jc w:val="center"/>
        <w:rPr>
          <w:rFonts w:asciiTheme="majorHAnsi" w:hAnsiTheme="majorHAnsi" w:cstheme="majorHAnsi"/>
          <w:b/>
          <w:color w:val="000000"/>
          <w:sz w:val="24"/>
          <w:szCs w:val="24"/>
        </w:rPr>
      </w:pPr>
    </w:p>
    <w:p w14:paraId="7AB418A4" w14:textId="77777777" w:rsidR="00FB36C5" w:rsidRPr="00405ECB" w:rsidRDefault="00FB36C5" w:rsidP="00405ECB">
      <w:pPr>
        <w:tabs>
          <w:tab w:val="right" w:pos="567"/>
        </w:tabs>
        <w:spacing w:after="0" w:line="276" w:lineRule="auto"/>
        <w:ind w:hanging="2"/>
        <w:jc w:val="center"/>
        <w:rPr>
          <w:rFonts w:asciiTheme="majorHAnsi" w:hAnsiTheme="majorHAnsi" w:cstheme="majorHAnsi"/>
          <w:b/>
          <w:color w:val="000000"/>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p>
    <w:p w14:paraId="6A225359" w14:textId="77777777" w:rsidR="00FB36C5" w:rsidRPr="00405ECB" w:rsidRDefault="0042655A" w:rsidP="00405ECB">
      <w:pPr>
        <w:tabs>
          <w:tab w:val="right" w:pos="567"/>
        </w:tabs>
        <w:spacing w:after="0" w:line="276" w:lineRule="auto"/>
        <w:ind w:hanging="2"/>
        <w:jc w:val="center"/>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Table 1</w:t>
      </w:r>
    </w:p>
    <w:p w14:paraId="41E45C44" w14:textId="77777777" w:rsidR="00FB36C5" w:rsidRPr="00405ECB" w:rsidRDefault="0042655A" w:rsidP="00405ECB">
      <w:pPr>
        <w:tabs>
          <w:tab w:val="right" w:pos="567"/>
        </w:tabs>
        <w:spacing w:after="0" w:line="276" w:lineRule="auto"/>
        <w:ind w:hanging="2"/>
        <w:jc w:val="center"/>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Frequency Distribution of Research Subjects Based on the Presence of Larvae at Home</w:t>
      </w:r>
    </w:p>
    <w:p w14:paraId="70B47BDC" w14:textId="77777777" w:rsidR="00FB36C5" w:rsidRPr="00405ECB" w:rsidRDefault="0042655A" w:rsidP="00405ECB">
      <w:pPr>
        <w:tabs>
          <w:tab w:val="right" w:pos="567"/>
        </w:tabs>
        <w:spacing w:after="0" w:line="276" w:lineRule="auto"/>
        <w:ind w:hanging="2"/>
        <w:jc w:val="center"/>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in Deli Serdang Regency</w:t>
      </w:r>
    </w:p>
    <w:p w14:paraId="57009AFC" w14:textId="77777777" w:rsidR="00FB36C5" w:rsidRPr="00405ECB" w:rsidRDefault="00FB36C5" w:rsidP="00405ECB">
      <w:pPr>
        <w:tabs>
          <w:tab w:val="right" w:pos="567"/>
        </w:tabs>
        <w:spacing w:after="0" w:line="276" w:lineRule="auto"/>
        <w:ind w:hanging="2"/>
        <w:jc w:val="center"/>
        <w:rPr>
          <w:rFonts w:asciiTheme="majorHAnsi" w:hAnsiTheme="majorHAnsi" w:cstheme="majorHAnsi"/>
          <w:color w:val="000000"/>
          <w:sz w:val="24"/>
          <w:szCs w:val="24"/>
        </w:rPr>
      </w:pPr>
    </w:p>
    <w:tbl>
      <w:tblPr>
        <w:tblStyle w:val="a"/>
        <w:tblW w:w="7651" w:type="dxa"/>
        <w:jc w:val="center"/>
        <w:tblLayout w:type="fixed"/>
        <w:tblLook w:val="0400" w:firstRow="0" w:lastRow="0" w:firstColumn="0" w:lastColumn="0" w:noHBand="0" w:noVBand="1"/>
      </w:tblPr>
      <w:tblGrid>
        <w:gridCol w:w="708"/>
        <w:gridCol w:w="2975"/>
        <w:gridCol w:w="2267"/>
        <w:gridCol w:w="1701"/>
      </w:tblGrid>
      <w:tr w:rsidR="00FB36C5" w:rsidRPr="00405ECB" w14:paraId="5BBA15A4" w14:textId="77777777">
        <w:trPr>
          <w:trHeight w:val="300"/>
          <w:jc w:val="center"/>
        </w:trPr>
        <w:tc>
          <w:tcPr>
            <w:tcW w:w="709" w:type="dxa"/>
            <w:tcBorders>
              <w:top w:val="single" w:sz="4" w:space="0" w:color="000000"/>
              <w:bottom w:val="single" w:sz="4" w:space="0" w:color="000000"/>
            </w:tcBorders>
            <w:shd w:val="clear" w:color="auto" w:fill="auto"/>
            <w:vAlign w:val="center"/>
          </w:tcPr>
          <w:p w14:paraId="4D469D52"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No</w:t>
            </w:r>
          </w:p>
        </w:tc>
        <w:tc>
          <w:tcPr>
            <w:tcW w:w="2975" w:type="dxa"/>
            <w:tcBorders>
              <w:top w:val="single" w:sz="4" w:space="0" w:color="000000"/>
              <w:bottom w:val="single" w:sz="4" w:space="0" w:color="000000"/>
            </w:tcBorders>
            <w:shd w:val="clear" w:color="auto" w:fill="auto"/>
            <w:vAlign w:val="center"/>
          </w:tcPr>
          <w:p w14:paraId="290E4295" w14:textId="77777777" w:rsidR="00FB36C5" w:rsidRPr="00405ECB" w:rsidRDefault="0042655A" w:rsidP="00405ECB">
            <w:pPr>
              <w:spacing w:after="0" w:line="276" w:lineRule="auto"/>
              <w:ind w:hanging="2"/>
              <w:rPr>
                <w:rFonts w:asciiTheme="majorHAnsi" w:hAnsiTheme="majorHAnsi" w:cstheme="majorHAnsi"/>
                <w:color w:val="000000"/>
                <w:sz w:val="24"/>
                <w:szCs w:val="24"/>
              </w:rPr>
            </w:pPr>
            <w:r w:rsidRPr="00405ECB">
              <w:rPr>
                <w:rFonts w:asciiTheme="majorHAnsi" w:hAnsiTheme="majorHAnsi" w:cstheme="majorHAnsi"/>
                <w:color w:val="000000"/>
                <w:sz w:val="24"/>
                <w:szCs w:val="24"/>
              </w:rPr>
              <w:t>The existence of larvae</w:t>
            </w:r>
          </w:p>
        </w:tc>
        <w:tc>
          <w:tcPr>
            <w:tcW w:w="2267" w:type="dxa"/>
            <w:tcBorders>
              <w:top w:val="single" w:sz="4" w:space="0" w:color="000000"/>
              <w:bottom w:val="single" w:sz="4" w:space="0" w:color="000000"/>
            </w:tcBorders>
            <w:shd w:val="clear" w:color="auto" w:fill="auto"/>
            <w:vAlign w:val="center"/>
          </w:tcPr>
          <w:p w14:paraId="231D2845"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Amount</w:t>
            </w:r>
          </w:p>
          <w:p w14:paraId="309EA640"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(n)</w:t>
            </w:r>
          </w:p>
        </w:tc>
        <w:tc>
          <w:tcPr>
            <w:tcW w:w="1701" w:type="dxa"/>
            <w:tcBorders>
              <w:top w:val="single" w:sz="4" w:space="0" w:color="000000"/>
              <w:bottom w:val="single" w:sz="4" w:space="0" w:color="000000"/>
            </w:tcBorders>
            <w:shd w:val="clear" w:color="auto" w:fill="auto"/>
            <w:vAlign w:val="center"/>
          </w:tcPr>
          <w:p w14:paraId="515CAE28"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Percentage</w:t>
            </w:r>
          </w:p>
          <w:p w14:paraId="6B920441"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 xml:space="preserve"> (%)</w:t>
            </w:r>
          </w:p>
        </w:tc>
      </w:tr>
      <w:tr w:rsidR="00FB36C5" w:rsidRPr="00405ECB" w14:paraId="22CE220B" w14:textId="77777777">
        <w:trPr>
          <w:trHeight w:val="300"/>
          <w:jc w:val="center"/>
        </w:trPr>
        <w:tc>
          <w:tcPr>
            <w:tcW w:w="709" w:type="dxa"/>
            <w:tcBorders>
              <w:top w:val="single" w:sz="4" w:space="0" w:color="000000"/>
            </w:tcBorders>
            <w:shd w:val="clear" w:color="auto" w:fill="auto"/>
            <w:vAlign w:val="center"/>
          </w:tcPr>
          <w:p w14:paraId="0CDD214D"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w:t>
            </w:r>
          </w:p>
        </w:tc>
        <w:tc>
          <w:tcPr>
            <w:tcW w:w="2975" w:type="dxa"/>
            <w:tcBorders>
              <w:top w:val="single" w:sz="4" w:space="0" w:color="000000"/>
            </w:tcBorders>
            <w:shd w:val="clear" w:color="auto" w:fill="auto"/>
            <w:vAlign w:val="center"/>
          </w:tcPr>
          <w:p w14:paraId="1A534FF5" w14:textId="77777777" w:rsidR="00FB36C5" w:rsidRPr="00405ECB" w:rsidRDefault="0042655A" w:rsidP="00405ECB">
            <w:pPr>
              <w:spacing w:after="0" w:line="276" w:lineRule="auto"/>
              <w:ind w:hanging="2"/>
              <w:rPr>
                <w:rFonts w:asciiTheme="majorHAnsi" w:hAnsiTheme="majorHAnsi" w:cstheme="majorHAnsi"/>
                <w:color w:val="000000"/>
                <w:sz w:val="24"/>
                <w:szCs w:val="24"/>
              </w:rPr>
            </w:pPr>
            <w:r w:rsidRPr="00405ECB">
              <w:rPr>
                <w:rFonts w:asciiTheme="majorHAnsi" w:hAnsiTheme="majorHAnsi" w:cstheme="majorHAnsi"/>
                <w:color w:val="000000"/>
                <w:sz w:val="24"/>
                <w:szCs w:val="24"/>
              </w:rPr>
              <w:t>There is</w:t>
            </w:r>
          </w:p>
        </w:tc>
        <w:tc>
          <w:tcPr>
            <w:tcW w:w="2267" w:type="dxa"/>
            <w:tcBorders>
              <w:top w:val="single" w:sz="4" w:space="0" w:color="000000"/>
            </w:tcBorders>
            <w:shd w:val="clear" w:color="auto" w:fill="auto"/>
            <w:vAlign w:val="center"/>
          </w:tcPr>
          <w:p w14:paraId="092F1A56"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74</w:t>
            </w:r>
          </w:p>
        </w:tc>
        <w:tc>
          <w:tcPr>
            <w:tcW w:w="1701" w:type="dxa"/>
            <w:tcBorders>
              <w:top w:val="single" w:sz="4" w:space="0" w:color="000000"/>
            </w:tcBorders>
            <w:shd w:val="clear" w:color="auto" w:fill="auto"/>
            <w:vAlign w:val="center"/>
          </w:tcPr>
          <w:p w14:paraId="6F120EC9"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37.</w:t>
            </w:r>
          </w:p>
        </w:tc>
      </w:tr>
      <w:tr w:rsidR="00FB36C5" w:rsidRPr="00405ECB" w14:paraId="4B77E5F7" w14:textId="77777777">
        <w:trPr>
          <w:trHeight w:val="300"/>
          <w:jc w:val="center"/>
        </w:trPr>
        <w:tc>
          <w:tcPr>
            <w:tcW w:w="709" w:type="dxa"/>
            <w:tcBorders>
              <w:top w:val="nil"/>
              <w:bottom w:val="single" w:sz="4" w:space="0" w:color="000000"/>
            </w:tcBorders>
            <w:shd w:val="clear" w:color="auto" w:fill="auto"/>
            <w:vAlign w:val="center"/>
          </w:tcPr>
          <w:p w14:paraId="58FCBE8F"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w:t>
            </w:r>
          </w:p>
        </w:tc>
        <w:tc>
          <w:tcPr>
            <w:tcW w:w="2975" w:type="dxa"/>
            <w:tcBorders>
              <w:top w:val="nil"/>
              <w:bottom w:val="single" w:sz="4" w:space="0" w:color="000000"/>
            </w:tcBorders>
            <w:shd w:val="clear" w:color="auto" w:fill="auto"/>
            <w:vAlign w:val="center"/>
          </w:tcPr>
          <w:p w14:paraId="7327677C" w14:textId="77777777" w:rsidR="00FB36C5" w:rsidRPr="00405ECB" w:rsidRDefault="0042655A" w:rsidP="00405ECB">
            <w:pPr>
              <w:spacing w:after="0" w:line="276" w:lineRule="auto"/>
              <w:ind w:hanging="2"/>
              <w:rPr>
                <w:rFonts w:asciiTheme="majorHAnsi" w:hAnsiTheme="majorHAnsi" w:cstheme="majorHAnsi"/>
                <w:color w:val="000000"/>
                <w:sz w:val="24"/>
                <w:szCs w:val="24"/>
              </w:rPr>
            </w:pPr>
            <w:r w:rsidRPr="00405ECB">
              <w:rPr>
                <w:rFonts w:asciiTheme="majorHAnsi" w:hAnsiTheme="majorHAnsi" w:cstheme="majorHAnsi"/>
                <w:color w:val="000000"/>
                <w:sz w:val="24"/>
                <w:szCs w:val="24"/>
              </w:rPr>
              <w:t>No</w:t>
            </w:r>
          </w:p>
        </w:tc>
        <w:tc>
          <w:tcPr>
            <w:tcW w:w="2267" w:type="dxa"/>
            <w:tcBorders>
              <w:top w:val="nil"/>
              <w:bottom w:val="single" w:sz="4" w:space="0" w:color="000000"/>
            </w:tcBorders>
            <w:shd w:val="clear" w:color="auto" w:fill="auto"/>
            <w:vAlign w:val="center"/>
          </w:tcPr>
          <w:p w14:paraId="49BA03B2"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126</w:t>
            </w:r>
          </w:p>
        </w:tc>
        <w:tc>
          <w:tcPr>
            <w:tcW w:w="1701" w:type="dxa"/>
            <w:tcBorders>
              <w:top w:val="nil"/>
              <w:bottom w:val="single" w:sz="4" w:space="0" w:color="000000"/>
            </w:tcBorders>
            <w:shd w:val="clear" w:color="auto" w:fill="auto"/>
            <w:vAlign w:val="center"/>
          </w:tcPr>
          <w:p w14:paraId="002CA30D"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63.0</w:t>
            </w:r>
          </w:p>
        </w:tc>
      </w:tr>
      <w:tr w:rsidR="00FB36C5" w:rsidRPr="00405ECB" w14:paraId="3B614384" w14:textId="77777777">
        <w:trPr>
          <w:trHeight w:val="300"/>
          <w:jc w:val="center"/>
        </w:trPr>
        <w:tc>
          <w:tcPr>
            <w:tcW w:w="3684" w:type="dxa"/>
            <w:gridSpan w:val="2"/>
            <w:tcBorders>
              <w:top w:val="single" w:sz="4" w:space="0" w:color="000000"/>
              <w:bottom w:val="single" w:sz="4" w:space="0" w:color="000000"/>
            </w:tcBorders>
            <w:shd w:val="clear" w:color="auto" w:fill="auto"/>
            <w:vAlign w:val="center"/>
          </w:tcPr>
          <w:p w14:paraId="51BE1012"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Total</w:t>
            </w:r>
          </w:p>
        </w:tc>
        <w:tc>
          <w:tcPr>
            <w:tcW w:w="2267" w:type="dxa"/>
            <w:tcBorders>
              <w:top w:val="nil"/>
              <w:bottom w:val="single" w:sz="4" w:space="0" w:color="000000"/>
            </w:tcBorders>
            <w:shd w:val="clear" w:color="auto" w:fill="auto"/>
            <w:vAlign w:val="center"/>
          </w:tcPr>
          <w:p w14:paraId="037B5484"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1701" w:type="dxa"/>
            <w:tcBorders>
              <w:top w:val="nil"/>
              <w:bottom w:val="single" w:sz="4" w:space="0" w:color="000000"/>
            </w:tcBorders>
            <w:shd w:val="clear" w:color="auto" w:fill="auto"/>
            <w:vAlign w:val="center"/>
          </w:tcPr>
          <w:p w14:paraId="2D65F47E" w14:textId="77777777" w:rsidR="00FB36C5" w:rsidRPr="00405ECB" w:rsidRDefault="0042655A" w:rsidP="00405ECB">
            <w:pPr>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100.0</w:t>
            </w:r>
          </w:p>
        </w:tc>
      </w:tr>
    </w:tbl>
    <w:p w14:paraId="1D67EC35" w14:textId="77777777" w:rsidR="00FB36C5" w:rsidRPr="00405ECB" w:rsidRDefault="00FB36C5" w:rsidP="00405ECB">
      <w:pPr>
        <w:tabs>
          <w:tab w:val="right" w:pos="567"/>
        </w:tabs>
        <w:spacing w:after="0" w:line="276" w:lineRule="auto"/>
        <w:ind w:hanging="2"/>
        <w:jc w:val="center"/>
        <w:rPr>
          <w:rFonts w:asciiTheme="majorHAnsi" w:hAnsiTheme="majorHAnsi" w:cstheme="majorHAnsi"/>
          <w:b/>
          <w:color w:val="000000"/>
          <w:sz w:val="24"/>
          <w:szCs w:val="24"/>
        </w:rPr>
      </w:pPr>
    </w:p>
    <w:p w14:paraId="36DD6B25" w14:textId="77777777" w:rsidR="00FB36C5" w:rsidRPr="00405ECB" w:rsidRDefault="0042655A" w:rsidP="00405ECB">
      <w:pPr>
        <w:spacing w:line="276" w:lineRule="auto"/>
        <w:jc w:val="center"/>
        <w:rPr>
          <w:rFonts w:asciiTheme="majorHAnsi" w:eastAsia="Cambria Math" w:hAnsiTheme="majorHAnsi" w:cstheme="majorHAnsi"/>
          <w:sz w:val="24"/>
          <w:szCs w:val="24"/>
        </w:rPr>
      </w:pPr>
      <m:oMathPara>
        <m:oMath>
          <m:r>
            <w:rPr>
              <w:rFonts w:ascii="Cambria Math" w:eastAsia="Cambria Math" w:hAnsi="Cambria Math" w:cstheme="majorHAnsi"/>
              <w:sz w:val="24"/>
              <w:szCs w:val="24"/>
            </w:rPr>
            <m:t>Flick Free Numbers</m:t>
          </m:r>
          <m:d>
            <m:dPr>
              <m:ctrlPr>
                <w:rPr>
                  <w:rFonts w:ascii="Cambria Math" w:eastAsia="Cambria Math" w:hAnsi="Cambria Math" w:cstheme="majorHAnsi"/>
                  <w:sz w:val="24"/>
                  <w:szCs w:val="24"/>
                </w:rPr>
              </m:ctrlPr>
            </m:dPr>
            <m:e>
              <m:r>
                <w:rPr>
                  <w:rFonts w:ascii="Cambria Math" w:eastAsia="Cambria Math" w:hAnsi="Cambria Math" w:cstheme="majorHAnsi"/>
                  <w:sz w:val="24"/>
                  <w:szCs w:val="24"/>
                </w:rPr>
                <m:t>ABJ</m:t>
              </m:r>
            </m:e>
          </m:d>
          <m:r>
            <w:rPr>
              <w:rFonts w:ascii="Cambria Math" w:eastAsia="Cambria Math" w:hAnsi="Cambria Math" w:cstheme="majorHAnsi"/>
              <w:sz w:val="24"/>
              <w:szCs w:val="24"/>
            </w:rPr>
            <m:t>=</m:t>
          </m:r>
          <m:f>
            <m:fPr>
              <m:ctrlPr>
                <w:rPr>
                  <w:rFonts w:ascii="Cambria Math" w:eastAsia="Cambria Math" w:hAnsi="Cambria Math" w:cstheme="majorHAnsi"/>
                  <w:sz w:val="24"/>
                  <w:szCs w:val="24"/>
                </w:rPr>
              </m:ctrlPr>
            </m:fPr>
            <m:num>
              <m:r>
                <w:rPr>
                  <w:rFonts w:ascii="Cambria Math" w:eastAsia="Cambria Math" w:hAnsi="Cambria Math" w:cstheme="majorHAnsi"/>
                  <w:sz w:val="24"/>
                  <w:szCs w:val="24"/>
                </w:rPr>
                <m:t>Number of Larvae Free Homes</m:t>
              </m:r>
            </m:num>
            <m:den>
              <m:r>
                <w:rPr>
                  <w:rFonts w:ascii="Cambria Math" w:eastAsia="Cambria Math" w:hAnsi="Cambria Math" w:cstheme="majorHAnsi"/>
                  <w:sz w:val="24"/>
                  <w:szCs w:val="24"/>
                </w:rPr>
                <m:t>Number of Homes Inspected</m:t>
              </m:r>
            </m:den>
          </m:f>
          <m:r>
            <w:rPr>
              <w:rFonts w:ascii="Cambria Math" w:eastAsia="Cambria Math" w:hAnsi="Cambria Math" w:cstheme="majorHAnsi"/>
              <w:sz w:val="24"/>
              <w:szCs w:val="24"/>
            </w:rPr>
            <m:t>X 100%</m:t>
          </m:r>
        </m:oMath>
      </m:oMathPara>
    </w:p>
    <w:p w14:paraId="676445A1" w14:textId="77777777" w:rsidR="00FB36C5" w:rsidRPr="00405ECB" w:rsidRDefault="0042655A" w:rsidP="00405ECB">
      <w:pPr>
        <w:spacing w:after="0" w:line="276" w:lineRule="auto"/>
        <w:ind w:hanging="2"/>
        <w:rPr>
          <w:rFonts w:asciiTheme="majorHAnsi" w:hAnsiTheme="majorHAnsi" w:cstheme="majorHAnsi"/>
          <w:sz w:val="24"/>
          <w:szCs w:val="24"/>
        </w:rPr>
      </w:pPr>
      <w:r w:rsidRPr="00405ECB">
        <w:rPr>
          <w:rFonts w:asciiTheme="majorHAnsi" w:hAnsiTheme="majorHAnsi" w:cstheme="majorHAnsi"/>
          <w:sz w:val="24"/>
          <w:szCs w:val="24"/>
        </w:rPr>
        <w:t xml:space="preserve">              </w:t>
      </w:r>
      <m:oMath>
        <m:r>
          <w:rPr>
            <w:rFonts w:ascii="Cambria Math" w:eastAsia="Cambria Math" w:hAnsi="Cambria Math" w:cstheme="majorHAnsi"/>
            <w:sz w:val="24"/>
            <w:szCs w:val="24"/>
          </w:rPr>
          <m:t>Flick Free Numbers</m:t>
        </m:r>
        <m:d>
          <m:dPr>
            <m:ctrlPr>
              <w:rPr>
                <w:rFonts w:ascii="Cambria Math" w:eastAsia="Cambria Math" w:hAnsi="Cambria Math" w:cstheme="majorHAnsi"/>
                <w:sz w:val="24"/>
                <w:szCs w:val="24"/>
              </w:rPr>
            </m:ctrlPr>
          </m:dPr>
          <m:e>
            <m:r>
              <w:rPr>
                <w:rFonts w:ascii="Cambria Math" w:eastAsia="Cambria Math" w:hAnsi="Cambria Math" w:cstheme="majorHAnsi"/>
                <w:sz w:val="24"/>
                <w:szCs w:val="24"/>
              </w:rPr>
              <m:t>ABJ</m:t>
            </m:r>
          </m:e>
        </m:d>
        <m:r>
          <w:rPr>
            <w:rFonts w:ascii="Cambria Math" w:eastAsia="Cambria Math" w:hAnsi="Cambria Math" w:cstheme="majorHAnsi"/>
            <w:sz w:val="24"/>
            <w:szCs w:val="24"/>
          </w:rPr>
          <m:t>=</m:t>
        </m:r>
        <m:f>
          <m:fPr>
            <m:ctrlPr>
              <w:rPr>
                <w:rFonts w:ascii="Cambria Math" w:hAnsi="Cambria Math" w:cstheme="majorHAnsi"/>
                <w:sz w:val="24"/>
                <w:szCs w:val="24"/>
              </w:rPr>
            </m:ctrlPr>
          </m:fPr>
          <m:num>
            <m:r>
              <w:rPr>
                <w:rFonts w:ascii="Cambria Math" w:eastAsia="Cambria Math" w:hAnsi="Cambria Math" w:cstheme="majorHAnsi"/>
                <w:sz w:val="24"/>
                <w:szCs w:val="24"/>
              </w:rPr>
              <m:t xml:space="preserve">126 </m:t>
            </m:r>
          </m:num>
          <m:den>
            <m:r>
              <w:rPr>
                <w:rFonts w:ascii="Cambria Math" w:eastAsia="Cambria Math" w:hAnsi="Cambria Math" w:cstheme="majorHAnsi"/>
                <w:sz w:val="24"/>
                <w:szCs w:val="24"/>
              </w:rPr>
              <m:t>200</m:t>
            </m:r>
            <m:r>
              <w:rPr>
                <w:rFonts w:ascii="Cambria Math" w:hAnsi="Cambria Math" w:cstheme="majorHAnsi"/>
                <w:sz w:val="24"/>
                <w:szCs w:val="24"/>
              </w:rPr>
              <m:t xml:space="preserve">  </m:t>
            </m:r>
          </m:den>
        </m:f>
        <m:r>
          <w:rPr>
            <w:rFonts w:ascii="Cambria Math" w:eastAsia="Cambria Math" w:hAnsi="Cambria Math" w:cstheme="majorHAnsi"/>
            <w:sz w:val="24"/>
            <w:szCs w:val="24"/>
          </w:rPr>
          <m:t>X 100%</m:t>
        </m:r>
      </m:oMath>
    </w:p>
    <w:p w14:paraId="0CD00D81" w14:textId="77777777" w:rsidR="00FB36C5" w:rsidRPr="00405ECB" w:rsidRDefault="00FB36C5" w:rsidP="00405ECB">
      <w:pPr>
        <w:spacing w:after="0" w:line="276" w:lineRule="auto"/>
        <w:ind w:hanging="2"/>
        <w:rPr>
          <w:rFonts w:asciiTheme="majorHAnsi" w:hAnsiTheme="majorHAnsi" w:cstheme="majorHAnsi"/>
          <w:sz w:val="24"/>
          <w:szCs w:val="24"/>
        </w:rPr>
      </w:pPr>
    </w:p>
    <w:p w14:paraId="24A2C370" w14:textId="77777777" w:rsidR="00FB36C5" w:rsidRPr="00405ECB" w:rsidRDefault="0042655A" w:rsidP="00405ECB">
      <w:pPr>
        <w:tabs>
          <w:tab w:val="right" w:pos="567"/>
        </w:tabs>
        <w:spacing w:after="0" w:line="276" w:lineRule="auto"/>
        <w:ind w:hanging="2"/>
        <w:rPr>
          <w:rFonts w:asciiTheme="majorHAnsi" w:hAnsiTheme="majorHAnsi" w:cstheme="majorHAnsi"/>
          <w:b/>
          <w:color w:val="000000"/>
          <w:sz w:val="24"/>
          <w:szCs w:val="24"/>
        </w:rPr>
      </w:pPr>
      <w:r w:rsidRPr="00405ECB">
        <w:rPr>
          <w:rFonts w:asciiTheme="majorHAnsi" w:hAnsiTheme="majorHAnsi" w:cstheme="majorHAnsi"/>
          <w:color w:val="000000"/>
          <w:sz w:val="24"/>
          <w:szCs w:val="24"/>
        </w:rPr>
        <w:t xml:space="preserve">             Larval Free Rate (ABJ) = 63 %</w:t>
      </w:r>
    </w:p>
    <w:p w14:paraId="133074A9" w14:textId="77777777" w:rsidR="00FB36C5" w:rsidRPr="00405ECB" w:rsidRDefault="00FB36C5" w:rsidP="00405ECB">
      <w:pPr>
        <w:tabs>
          <w:tab w:val="right" w:pos="567"/>
        </w:tabs>
        <w:spacing w:after="0" w:line="276" w:lineRule="auto"/>
        <w:ind w:hanging="2"/>
        <w:jc w:val="center"/>
        <w:rPr>
          <w:rFonts w:asciiTheme="majorHAnsi" w:hAnsiTheme="majorHAnsi" w:cstheme="majorHAnsi"/>
          <w:b/>
          <w:color w:val="000000"/>
          <w:sz w:val="24"/>
          <w:szCs w:val="24"/>
        </w:rPr>
      </w:pPr>
    </w:p>
    <w:p w14:paraId="44F82A1F" w14:textId="77777777" w:rsidR="00FB36C5" w:rsidRPr="00405ECB" w:rsidRDefault="0042655A" w:rsidP="00405ECB">
      <w:pPr>
        <w:tabs>
          <w:tab w:val="right" w:pos="567"/>
        </w:tabs>
        <w:spacing w:after="0" w:line="276" w:lineRule="auto"/>
        <w:ind w:hanging="2"/>
        <w:jc w:val="center"/>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Table 2</w:t>
      </w:r>
    </w:p>
    <w:p w14:paraId="7F74BFF9" w14:textId="77777777" w:rsidR="00FB36C5" w:rsidRPr="00405ECB" w:rsidRDefault="0042655A" w:rsidP="00405ECB">
      <w:pPr>
        <w:tabs>
          <w:tab w:val="right" w:pos="567"/>
        </w:tabs>
        <w:spacing w:after="0" w:line="276" w:lineRule="auto"/>
        <w:ind w:hanging="2"/>
        <w:jc w:val="center"/>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Frequency Distribution of Research Subjects Based on</w:t>
      </w:r>
    </w:p>
    <w:p w14:paraId="3CF5B60F" w14:textId="77777777" w:rsidR="00FB36C5" w:rsidRPr="00405ECB" w:rsidRDefault="0042655A" w:rsidP="00405ECB">
      <w:pPr>
        <w:tabs>
          <w:tab w:val="right" w:pos="567"/>
        </w:tabs>
        <w:spacing w:after="0" w:line="276" w:lineRule="auto"/>
        <w:ind w:hanging="2"/>
        <w:jc w:val="center"/>
        <w:rPr>
          <w:rFonts w:asciiTheme="majorHAnsi" w:hAnsiTheme="majorHAnsi" w:cstheme="majorHAnsi"/>
          <w:b/>
          <w:color w:val="000000"/>
          <w:sz w:val="24"/>
          <w:szCs w:val="24"/>
        </w:rPr>
      </w:pPr>
      <w:r w:rsidRPr="00405ECB">
        <w:rPr>
          <w:rFonts w:asciiTheme="majorHAnsi" w:hAnsiTheme="majorHAnsi" w:cstheme="majorHAnsi"/>
          <w:b/>
          <w:color w:val="000000"/>
          <w:sz w:val="24"/>
          <w:szCs w:val="24"/>
        </w:rPr>
        <w:t>The presence of larvae in containers in Deli Serdang Regency</w:t>
      </w:r>
    </w:p>
    <w:p w14:paraId="39562801" w14:textId="77777777" w:rsidR="00FB36C5" w:rsidRPr="00405ECB" w:rsidRDefault="00FB36C5" w:rsidP="00405ECB">
      <w:pPr>
        <w:tabs>
          <w:tab w:val="right" w:pos="567"/>
        </w:tabs>
        <w:spacing w:after="0" w:line="276" w:lineRule="auto"/>
        <w:jc w:val="center"/>
        <w:rPr>
          <w:rFonts w:asciiTheme="majorHAnsi" w:hAnsiTheme="majorHAnsi" w:cstheme="majorHAnsi"/>
          <w:b/>
          <w:color w:val="000000"/>
          <w:sz w:val="24"/>
          <w:szCs w:val="24"/>
        </w:rPr>
      </w:pPr>
    </w:p>
    <w:tbl>
      <w:tblPr>
        <w:tblStyle w:val="a0"/>
        <w:tblW w:w="9329"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534"/>
        <w:gridCol w:w="3685"/>
        <w:gridCol w:w="709"/>
        <w:gridCol w:w="850"/>
        <w:gridCol w:w="851"/>
        <w:gridCol w:w="854"/>
        <w:gridCol w:w="850"/>
        <w:gridCol w:w="996"/>
      </w:tblGrid>
      <w:tr w:rsidR="00FB36C5" w:rsidRPr="00405ECB" w14:paraId="6F962B99" w14:textId="77777777">
        <w:tc>
          <w:tcPr>
            <w:tcW w:w="534" w:type="dxa"/>
            <w:vMerge w:val="restart"/>
            <w:shd w:val="clear" w:color="auto" w:fill="auto"/>
            <w:vAlign w:val="center"/>
          </w:tcPr>
          <w:p w14:paraId="39497DF0"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No</w:t>
            </w:r>
          </w:p>
        </w:tc>
        <w:tc>
          <w:tcPr>
            <w:tcW w:w="3685" w:type="dxa"/>
            <w:vMerge w:val="restart"/>
            <w:shd w:val="clear" w:color="auto" w:fill="auto"/>
            <w:vAlign w:val="center"/>
          </w:tcPr>
          <w:p w14:paraId="53713647" w14:textId="77777777" w:rsidR="00FB36C5" w:rsidRPr="00405ECB" w:rsidRDefault="0042655A" w:rsidP="00405ECB">
            <w:pPr>
              <w:tabs>
                <w:tab w:val="right" w:pos="567"/>
              </w:tabs>
              <w:spacing w:after="0" w:line="276" w:lineRule="auto"/>
              <w:ind w:hanging="2"/>
              <w:rPr>
                <w:rFonts w:asciiTheme="majorHAnsi" w:hAnsiTheme="majorHAnsi" w:cstheme="majorHAnsi"/>
                <w:color w:val="000000"/>
                <w:sz w:val="24"/>
                <w:szCs w:val="24"/>
              </w:rPr>
            </w:pPr>
            <w:r w:rsidRPr="00405ECB">
              <w:rPr>
                <w:rFonts w:asciiTheme="majorHAnsi" w:hAnsiTheme="majorHAnsi" w:cstheme="majorHAnsi"/>
                <w:color w:val="000000"/>
                <w:sz w:val="24"/>
                <w:szCs w:val="24"/>
              </w:rPr>
              <w:t>Water reservoirs</w:t>
            </w:r>
          </w:p>
        </w:tc>
        <w:tc>
          <w:tcPr>
            <w:tcW w:w="3264" w:type="dxa"/>
            <w:gridSpan w:val="4"/>
            <w:shd w:val="clear" w:color="auto" w:fill="auto"/>
            <w:vAlign w:val="center"/>
          </w:tcPr>
          <w:p w14:paraId="393C36A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The existence of larvae</w:t>
            </w:r>
          </w:p>
        </w:tc>
        <w:tc>
          <w:tcPr>
            <w:tcW w:w="1846" w:type="dxa"/>
            <w:gridSpan w:val="2"/>
            <w:vMerge w:val="restart"/>
            <w:shd w:val="clear" w:color="auto" w:fill="auto"/>
            <w:vAlign w:val="center"/>
          </w:tcPr>
          <w:p w14:paraId="560A98D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TOTAL</w:t>
            </w:r>
          </w:p>
        </w:tc>
      </w:tr>
      <w:tr w:rsidR="00FB36C5" w:rsidRPr="00405ECB" w14:paraId="42681566" w14:textId="77777777">
        <w:tc>
          <w:tcPr>
            <w:tcW w:w="534" w:type="dxa"/>
            <w:vMerge/>
            <w:shd w:val="clear" w:color="auto" w:fill="auto"/>
            <w:vAlign w:val="center"/>
          </w:tcPr>
          <w:p w14:paraId="6F136EF6" w14:textId="77777777" w:rsidR="00FB36C5" w:rsidRPr="00405ECB" w:rsidRDefault="00FB36C5" w:rsidP="00405ECB">
            <w:pPr>
              <w:widowControl w:val="0"/>
              <w:pBdr>
                <w:top w:val="nil"/>
                <w:left w:val="nil"/>
                <w:bottom w:val="nil"/>
                <w:right w:val="nil"/>
                <w:between w:val="nil"/>
              </w:pBdr>
              <w:spacing w:after="0" w:line="276" w:lineRule="auto"/>
              <w:rPr>
                <w:rFonts w:asciiTheme="majorHAnsi" w:hAnsiTheme="majorHAnsi" w:cstheme="majorHAnsi"/>
                <w:color w:val="000000"/>
                <w:sz w:val="24"/>
                <w:szCs w:val="24"/>
              </w:rPr>
            </w:pPr>
          </w:p>
        </w:tc>
        <w:tc>
          <w:tcPr>
            <w:tcW w:w="3685" w:type="dxa"/>
            <w:vMerge/>
            <w:shd w:val="clear" w:color="auto" w:fill="auto"/>
            <w:vAlign w:val="center"/>
          </w:tcPr>
          <w:p w14:paraId="5794C03D" w14:textId="77777777" w:rsidR="00FB36C5" w:rsidRPr="00405ECB" w:rsidRDefault="00FB36C5" w:rsidP="00405ECB">
            <w:pPr>
              <w:widowControl w:val="0"/>
              <w:pBdr>
                <w:top w:val="nil"/>
                <w:left w:val="nil"/>
                <w:bottom w:val="nil"/>
                <w:right w:val="nil"/>
                <w:between w:val="nil"/>
              </w:pBdr>
              <w:spacing w:after="0" w:line="276" w:lineRule="auto"/>
              <w:rPr>
                <w:rFonts w:asciiTheme="majorHAnsi" w:hAnsiTheme="majorHAnsi" w:cstheme="majorHAnsi"/>
                <w:color w:val="000000"/>
                <w:sz w:val="24"/>
                <w:szCs w:val="24"/>
              </w:rPr>
            </w:pPr>
          </w:p>
        </w:tc>
        <w:tc>
          <w:tcPr>
            <w:tcW w:w="1559" w:type="dxa"/>
            <w:gridSpan w:val="2"/>
            <w:shd w:val="clear" w:color="auto" w:fill="auto"/>
          </w:tcPr>
          <w:p w14:paraId="009FBB28"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There is</w:t>
            </w:r>
          </w:p>
        </w:tc>
        <w:tc>
          <w:tcPr>
            <w:tcW w:w="1705" w:type="dxa"/>
            <w:gridSpan w:val="2"/>
            <w:shd w:val="clear" w:color="auto" w:fill="auto"/>
          </w:tcPr>
          <w:p w14:paraId="0ADB9C97"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No</w:t>
            </w:r>
          </w:p>
        </w:tc>
        <w:tc>
          <w:tcPr>
            <w:tcW w:w="1846" w:type="dxa"/>
            <w:gridSpan w:val="2"/>
            <w:vMerge/>
            <w:shd w:val="clear" w:color="auto" w:fill="auto"/>
            <w:vAlign w:val="center"/>
          </w:tcPr>
          <w:p w14:paraId="26130308" w14:textId="77777777" w:rsidR="00FB36C5" w:rsidRPr="00405ECB" w:rsidRDefault="00FB36C5" w:rsidP="00405ECB">
            <w:pPr>
              <w:widowControl w:val="0"/>
              <w:pBdr>
                <w:top w:val="nil"/>
                <w:left w:val="nil"/>
                <w:bottom w:val="nil"/>
                <w:right w:val="nil"/>
                <w:between w:val="nil"/>
              </w:pBdr>
              <w:spacing w:after="0" w:line="276" w:lineRule="auto"/>
              <w:rPr>
                <w:rFonts w:asciiTheme="majorHAnsi" w:hAnsiTheme="majorHAnsi" w:cstheme="majorHAnsi"/>
                <w:color w:val="000000"/>
                <w:sz w:val="24"/>
                <w:szCs w:val="24"/>
              </w:rPr>
            </w:pPr>
          </w:p>
        </w:tc>
      </w:tr>
      <w:tr w:rsidR="00FB36C5" w:rsidRPr="00405ECB" w14:paraId="2245723B" w14:textId="77777777">
        <w:tc>
          <w:tcPr>
            <w:tcW w:w="534" w:type="dxa"/>
            <w:vMerge/>
            <w:shd w:val="clear" w:color="auto" w:fill="auto"/>
            <w:vAlign w:val="center"/>
          </w:tcPr>
          <w:p w14:paraId="2E09B0D3" w14:textId="77777777" w:rsidR="00FB36C5" w:rsidRPr="00405ECB" w:rsidRDefault="00FB36C5" w:rsidP="00405ECB">
            <w:pPr>
              <w:widowControl w:val="0"/>
              <w:pBdr>
                <w:top w:val="nil"/>
                <w:left w:val="nil"/>
                <w:bottom w:val="nil"/>
                <w:right w:val="nil"/>
                <w:between w:val="nil"/>
              </w:pBdr>
              <w:spacing w:after="0" w:line="276" w:lineRule="auto"/>
              <w:rPr>
                <w:rFonts w:asciiTheme="majorHAnsi" w:hAnsiTheme="majorHAnsi" w:cstheme="majorHAnsi"/>
                <w:color w:val="000000"/>
                <w:sz w:val="24"/>
                <w:szCs w:val="24"/>
              </w:rPr>
            </w:pPr>
          </w:p>
        </w:tc>
        <w:tc>
          <w:tcPr>
            <w:tcW w:w="3685" w:type="dxa"/>
            <w:vMerge/>
            <w:shd w:val="clear" w:color="auto" w:fill="auto"/>
            <w:vAlign w:val="center"/>
          </w:tcPr>
          <w:p w14:paraId="44D16AD0" w14:textId="77777777" w:rsidR="00FB36C5" w:rsidRPr="00405ECB" w:rsidRDefault="00FB36C5" w:rsidP="00405ECB">
            <w:pPr>
              <w:widowControl w:val="0"/>
              <w:pBdr>
                <w:top w:val="nil"/>
                <w:left w:val="nil"/>
                <w:bottom w:val="nil"/>
                <w:right w:val="nil"/>
                <w:between w:val="nil"/>
              </w:pBdr>
              <w:spacing w:after="0" w:line="276" w:lineRule="auto"/>
              <w:rPr>
                <w:rFonts w:asciiTheme="majorHAnsi" w:hAnsiTheme="majorHAnsi" w:cstheme="majorHAnsi"/>
                <w:color w:val="000000"/>
                <w:sz w:val="24"/>
                <w:szCs w:val="24"/>
              </w:rPr>
            </w:pPr>
          </w:p>
        </w:tc>
        <w:tc>
          <w:tcPr>
            <w:tcW w:w="709" w:type="dxa"/>
            <w:shd w:val="clear" w:color="auto" w:fill="auto"/>
          </w:tcPr>
          <w:p w14:paraId="30FB9770"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n</w:t>
            </w:r>
          </w:p>
        </w:tc>
        <w:tc>
          <w:tcPr>
            <w:tcW w:w="850" w:type="dxa"/>
            <w:shd w:val="clear" w:color="auto" w:fill="auto"/>
          </w:tcPr>
          <w:p w14:paraId="3EED706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w:t>
            </w:r>
          </w:p>
        </w:tc>
        <w:tc>
          <w:tcPr>
            <w:tcW w:w="851" w:type="dxa"/>
            <w:shd w:val="clear" w:color="auto" w:fill="auto"/>
          </w:tcPr>
          <w:p w14:paraId="35FE6C5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n</w:t>
            </w:r>
          </w:p>
        </w:tc>
        <w:tc>
          <w:tcPr>
            <w:tcW w:w="854" w:type="dxa"/>
            <w:shd w:val="clear" w:color="auto" w:fill="auto"/>
          </w:tcPr>
          <w:p w14:paraId="7C8F6400"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w:t>
            </w:r>
          </w:p>
        </w:tc>
        <w:tc>
          <w:tcPr>
            <w:tcW w:w="850" w:type="dxa"/>
            <w:shd w:val="clear" w:color="auto" w:fill="auto"/>
          </w:tcPr>
          <w:p w14:paraId="23FC53C1"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N</w:t>
            </w:r>
          </w:p>
        </w:tc>
        <w:tc>
          <w:tcPr>
            <w:tcW w:w="996" w:type="dxa"/>
            <w:shd w:val="clear" w:color="auto" w:fill="auto"/>
          </w:tcPr>
          <w:p w14:paraId="2225E16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w:t>
            </w:r>
          </w:p>
        </w:tc>
      </w:tr>
      <w:tr w:rsidR="00FB36C5" w:rsidRPr="00405ECB" w14:paraId="66198BF8" w14:textId="77777777">
        <w:tc>
          <w:tcPr>
            <w:tcW w:w="534" w:type="dxa"/>
            <w:shd w:val="clear" w:color="auto" w:fill="auto"/>
          </w:tcPr>
          <w:p w14:paraId="5D3C094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w:t>
            </w:r>
          </w:p>
        </w:tc>
        <w:tc>
          <w:tcPr>
            <w:tcW w:w="3685" w:type="dxa"/>
            <w:shd w:val="clear" w:color="auto" w:fill="auto"/>
          </w:tcPr>
          <w:p w14:paraId="633D3D23"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Bucket in the house</w:t>
            </w:r>
          </w:p>
        </w:tc>
        <w:tc>
          <w:tcPr>
            <w:tcW w:w="709" w:type="dxa"/>
            <w:shd w:val="clear" w:color="auto" w:fill="auto"/>
          </w:tcPr>
          <w:p w14:paraId="3F5F5F1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16</w:t>
            </w:r>
          </w:p>
        </w:tc>
        <w:tc>
          <w:tcPr>
            <w:tcW w:w="850" w:type="dxa"/>
            <w:shd w:val="clear" w:color="auto" w:fill="auto"/>
          </w:tcPr>
          <w:p w14:paraId="48CF434E"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8,0</w:t>
            </w:r>
          </w:p>
        </w:tc>
        <w:tc>
          <w:tcPr>
            <w:tcW w:w="851" w:type="dxa"/>
            <w:shd w:val="clear" w:color="auto" w:fill="auto"/>
          </w:tcPr>
          <w:p w14:paraId="5255D44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184</w:t>
            </w:r>
          </w:p>
        </w:tc>
        <w:tc>
          <w:tcPr>
            <w:tcW w:w="854" w:type="dxa"/>
            <w:shd w:val="clear" w:color="auto" w:fill="auto"/>
          </w:tcPr>
          <w:p w14:paraId="41BDE344"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92,0</w:t>
            </w:r>
          </w:p>
        </w:tc>
        <w:tc>
          <w:tcPr>
            <w:tcW w:w="850" w:type="dxa"/>
            <w:shd w:val="clear" w:color="auto" w:fill="auto"/>
          </w:tcPr>
          <w:p w14:paraId="2CC46D0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0696E69B"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4FFB64AA" w14:textId="77777777">
        <w:tc>
          <w:tcPr>
            <w:tcW w:w="534" w:type="dxa"/>
            <w:shd w:val="clear" w:color="auto" w:fill="auto"/>
          </w:tcPr>
          <w:p w14:paraId="7D1B83C1"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w:t>
            </w:r>
          </w:p>
        </w:tc>
        <w:tc>
          <w:tcPr>
            <w:tcW w:w="3685" w:type="dxa"/>
            <w:shd w:val="clear" w:color="auto" w:fill="auto"/>
          </w:tcPr>
          <w:p w14:paraId="239A7B13"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Outdoor bucket</w:t>
            </w:r>
          </w:p>
        </w:tc>
        <w:tc>
          <w:tcPr>
            <w:tcW w:w="709" w:type="dxa"/>
            <w:shd w:val="clear" w:color="auto" w:fill="auto"/>
          </w:tcPr>
          <w:p w14:paraId="78705A65"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12</w:t>
            </w:r>
          </w:p>
        </w:tc>
        <w:tc>
          <w:tcPr>
            <w:tcW w:w="850" w:type="dxa"/>
            <w:shd w:val="clear" w:color="auto" w:fill="auto"/>
          </w:tcPr>
          <w:p w14:paraId="0948D45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6,0</w:t>
            </w:r>
          </w:p>
        </w:tc>
        <w:tc>
          <w:tcPr>
            <w:tcW w:w="851" w:type="dxa"/>
            <w:shd w:val="clear" w:color="auto" w:fill="auto"/>
          </w:tcPr>
          <w:p w14:paraId="4A0807C5"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188</w:t>
            </w:r>
          </w:p>
        </w:tc>
        <w:tc>
          <w:tcPr>
            <w:tcW w:w="854" w:type="dxa"/>
            <w:shd w:val="clear" w:color="auto" w:fill="auto"/>
          </w:tcPr>
          <w:p w14:paraId="311EE071"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94,0</w:t>
            </w:r>
          </w:p>
        </w:tc>
        <w:tc>
          <w:tcPr>
            <w:tcW w:w="850" w:type="dxa"/>
            <w:shd w:val="clear" w:color="auto" w:fill="auto"/>
          </w:tcPr>
          <w:p w14:paraId="08951AA8"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5B2C5D12"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51B22E0C" w14:textId="77777777">
        <w:tc>
          <w:tcPr>
            <w:tcW w:w="534" w:type="dxa"/>
            <w:shd w:val="clear" w:color="auto" w:fill="auto"/>
          </w:tcPr>
          <w:p w14:paraId="7A51A18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3</w:t>
            </w:r>
          </w:p>
        </w:tc>
        <w:tc>
          <w:tcPr>
            <w:tcW w:w="3685" w:type="dxa"/>
            <w:shd w:val="clear" w:color="auto" w:fill="auto"/>
          </w:tcPr>
          <w:p w14:paraId="28AE94BB"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Animal Drinking Place in the House</w:t>
            </w:r>
          </w:p>
        </w:tc>
        <w:tc>
          <w:tcPr>
            <w:tcW w:w="709" w:type="dxa"/>
            <w:shd w:val="clear" w:color="auto" w:fill="auto"/>
          </w:tcPr>
          <w:p w14:paraId="4C8C97E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w:t>
            </w:r>
          </w:p>
        </w:tc>
        <w:tc>
          <w:tcPr>
            <w:tcW w:w="850" w:type="dxa"/>
            <w:shd w:val="clear" w:color="auto" w:fill="auto"/>
          </w:tcPr>
          <w:p w14:paraId="48AD890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w:t>
            </w:r>
          </w:p>
        </w:tc>
        <w:tc>
          <w:tcPr>
            <w:tcW w:w="851" w:type="dxa"/>
            <w:shd w:val="clear" w:color="auto" w:fill="auto"/>
          </w:tcPr>
          <w:p w14:paraId="446EF69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198</w:t>
            </w:r>
          </w:p>
        </w:tc>
        <w:tc>
          <w:tcPr>
            <w:tcW w:w="854" w:type="dxa"/>
            <w:shd w:val="clear" w:color="auto" w:fill="auto"/>
          </w:tcPr>
          <w:p w14:paraId="6FF79E6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99,0</w:t>
            </w:r>
          </w:p>
        </w:tc>
        <w:tc>
          <w:tcPr>
            <w:tcW w:w="850" w:type="dxa"/>
            <w:shd w:val="clear" w:color="auto" w:fill="auto"/>
          </w:tcPr>
          <w:p w14:paraId="0985C10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6B4BB02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3F557432" w14:textId="77777777">
        <w:tc>
          <w:tcPr>
            <w:tcW w:w="534" w:type="dxa"/>
            <w:shd w:val="clear" w:color="auto" w:fill="auto"/>
          </w:tcPr>
          <w:p w14:paraId="3B9D66B0"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4</w:t>
            </w:r>
          </w:p>
        </w:tc>
        <w:tc>
          <w:tcPr>
            <w:tcW w:w="3685" w:type="dxa"/>
            <w:shd w:val="clear" w:color="auto" w:fill="auto"/>
          </w:tcPr>
          <w:p w14:paraId="20795019"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Outdoor Animal Drinking Place</w:t>
            </w:r>
          </w:p>
        </w:tc>
        <w:tc>
          <w:tcPr>
            <w:tcW w:w="709" w:type="dxa"/>
            <w:shd w:val="clear" w:color="auto" w:fill="auto"/>
          </w:tcPr>
          <w:p w14:paraId="6902809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4</w:t>
            </w:r>
          </w:p>
        </w:tc>
        <w:tc>
          <w:tcPr>
            <w:tcW w:w="850" w:type="dxa"/>
            <w:shd w:val="clear" w:color="auto" w:fill="auto"/>
          </w:tcPr>
          <w:p w14:paraId="200CBCF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w:t>
            </w:r>
          </w:p>
        </w:tc>
        <w:tc>
          <w:tcPr>
            <w:tcW w:w="851" w:type="dxa"/>
            <w:shd w:val="clear" w:color="auto" w:fill="auto"/>
          </w:tcPr>
          <w:p w14:paraId="23BAE0F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196</w:t>
            </w:r>
          </w:p>
        </w:tc>
        <w:tc>
          <w:tcPr>
            <w:tcW w:w="854" w:type="dxa"/>
            <w:shd w:val="clear" w:color="auto" w:fill="auto"/>
          </w:tcPr>
          <w:p w14:paraId="53565B1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98,0</w:t>
            </w:r>
          </w:p>
        </w:tc>
        <w:tc>
          <w:tcPr>
            <w:tcW w:w="850" w:type="dxa"/>
            <w:shd w:val="clear" w:color="auto" w:fill="auto"/>
          </w:tcPr>
          <w:p w14:paraId="32F28ED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1E5F0BD4"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7EEF585A" w14:textId="77777777">
        <w:tc>
          <w:tcPr>
            <w:tcW w:w="534" w:type="dxa"/>
            <w:shd w:val="clear" w:color="auto" w:fill="auto"/>
          </w:tcPr>
          <w:p w14:paraId="4C57742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5</w:t>
            </w:r>
          </w:p>
        </w:tc>
        <w:tc>
          <w:tcPr>
            <w:tcW w:w="3685" w:type="dxa"/>
            <w:shd w:val="clear" w:color="auto" w:fill="auto"/>
          </w:tcPr>
          <w:p w14:paraId="520F319D"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Used goods in the house</w:t>
            </w:r>
          </w:p>
        </w:tc>
        <w:tc>
          <w:tcPr>
            <w:tcW w:w="709" w:type="dxa"/>
            <w:shd w:val="clear" w:color="auto" w:fill="auto"/>
          </w:tcPr>
          <w:p w14:paraId="2BEF3824"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7</w:t>
            </w:r>
          </w:p>
        </w:tc>
        <w:tc>
          <w:tcPr>
            <w:tcW w:w="850" w:type="dxa"/>
            <w:shd w:val="clear" w:color="auto" w:fill="auto"/>
          </w:tcPr>
          <w:p w14:paraId="13498A55"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3,5</w:t>
            </w:r>
          </w:p>
        </w:tc>
        <w:tc>
          <w:tcPr>
            <w:tcW w:w="851" w:type="dxa"/>
            <w:shd w:val="clear" w:color="auto" w:fill="auto"/>
          </w:tcPr>
          <w:p w14:paraId="074C9CC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193</w:t>
            </w:r>
          </w:p>
        </w:tc>
        <w:tc>
          <w:tcPr>
            <w:tcW w:w="854" w:type="dxa"/>
            <w:shd w:val="clear" w:color="auto" w:fill="auto"/>
          </w:tcPr>
          <w:p w14:paraId="21270CC2"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96,5</w:t>
            </w:r>
          </w:p>
        </w:tc>
        <w:tc>
          <w:tcPr>
            <w:tcW w:w="850" w:type="dxa"/>
            <w:shd w:val="clear" w:color="auto" w:fill="auto"/>
          </w:tcPr>
          <w:p w14:paraId="7221241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7C73BB8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41B46D17" w14:textId="77777777">
        <w:tc>
          <w:tcPr>
            <w:tcW w:w="534" w:type="dxa"/>
            <w:shd w:val="clear" w:color="auto" w:fill="auto"/>
          </w:tcPr>
          <w:p w14:paraId="3F1D7B31"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6</w:t>
            </w:r>
          </w:p>
        </w:tc>
        <w:tc>
          <w:tcPr>
            <w:tcW w:w="3685" w:type="dxa"/>
            <w:shd w:val="clear" w:color="auto" w:fill="auto"/>
          </w:tcPr>
          <w:p w14:paraId="690BE270"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Used goods outside the home</w:t>
            </w:r>
          </w:p>
        </w:tc>
        <w:tc>
          <w:tcPr>
            <w:tcW w:w="709" w:type="dxa"/>
            <w:shd w:val="clear" w:color="auto" w:fill="auto"/>
          </w:tcPr>
          <w:p w14:paraId="07FAC22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w:t>
            </w:r>
          </w:p>
        </w:tc>
        <w:tc>
          <w:tcPr>
            <w:tcW w:w="850" w:type="dxa"/>
            <w:shd w:val="clear" w:color="auto" w:fill="auto"/>
          </w:tcPr>
          <w:p w14:paraId="39F6EF04"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c>
          <w:tcPr>
            <w:tcW w:w="851" w:type="dxa"/>
            <w:shd w:val="clear" w:color="auto" w:fill="auto"/>
          </w:tcPr>
          <w:p w14:paraId="513C43AB"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180</w:t>
            </w:r>
          </w:p>
        </w:tc>
        <w:tc>
          <w:tcPr>
            <w:tcW w:w="854" w:type="dxa"/>
            <w:shd w:val="clear" w:color="auto" w:fill="auto"/>
          </w:tcPr>
          <w:p w14:paraId="0FFCE17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90,0</w:t>
            </w:r>
          </w:p>
        </w:tc>
        <w:tc>
          <w:tcPr>
            <w:tcW w:w="850" w:type="dxa"/>
            <w:shd w:val="clear" w:color="auto" w:fill="auto"/>
          </w:tcPr>
          <w:p w14:paraId="7361A29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03A73BF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5417FDFF" w14:textId="77777777">
        <w:tc>
          <w:tcPr>
            <w:tcW w:w="534" w:type="dxa"/>
            <w:shd w:val="clear" w:color="auto" w:fill="auto"/>
          </w:tcPr>
          <w:p w14:paraId="41C9D695"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7</w:t>
            </w:r>
          </w:p>
        </w:tc>
        <w:tc>
          <w:tcPr>
            <w:tcW w:w="3685" w:type="dxa"/>
            <w:shd w:val="clear" w:color="auto" w:fill="auto"/>
          </w:tcPr>
          <w:p w14:paraId="7739FA0D"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Flower Vase in the House</w:t>
            </w:r>
          </w:p>
        </w:tc>
        <w:tc>
          <w:tcPr>
            <w:tcW w:w="709" w:type="dxa"/>
            <w:shd w:val="clear" w:color="auto" w:fill="auto"/>
          </w:tcPr>
          <w:p w14:paraId="063AC275"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w:t>
            </w:r>
          </w:p>
        </w:tc>
        <w:tc>
          <w:tcPr>
            <w:tcW w:w="850" w:type="dxa"/>
            <w:shd w:val="clear" w:color="auto" w:fill="auto"/>
          </w:tcPr>
          <w:p w14:paraId="1742AE31"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,5</w:t>
            </w:r>
          </w:p>
        </w:tc>
        <w:tc>
          <w:tcPr>
            <w:tcW w:w="851" w:type="dxa"/>
            <w:shd w:val="clear" w:color="auto" w:fill="auto"/>
          </w:tcPr>
          <w:p w14:paraId="74213D4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199</w:t>
            </w:r>
          </w:p>
        </w:tc>
        <w:tc>
          <w:tcPr>
            <w:tcW w:w="854" w:type="dxa"/>
            <w:shd w:val="clear" w:color="auto" w:fill="auto"/>
          </w:tcPr>
          <w:p w14:paraId="3A39B952"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99,5</w:t>
            </w:r>
          </w:p>
        </w:tc>
        <w:tc>
          <w:tcPr>
            <w:tcW w:w="850" w:type="dxa"/>
            <w:shd w:val="clear" w:color="auto" w:fill="auto"/>
          </w:tcPr>
          <w:p w14:paraId="53874C7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088E3F1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29D09039" w14:textId="77777777">
        <w:tc>
          <w:tcPr>
            <w:tcW w:w="534" w:type="dxa"/>
            <w:shd w:val="clear" w:color="auto" w:fill="auto"/>
          </w:tcPr>
          <w:p w14:paraId="3777FDE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8</w:t>
            </w:r>
          </w:p>
        </w:tc>
        <w:tc>
          <w:tcPr>
            <w:tcW w:w="3685" w:type="dxa"/>
            <w:shd w:val="clear" w:color="auto" w:fill="auto"/>
          </w:tcPr>
          <w:p w14:paraId="1154275D"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Flower Vases outside the House</w:t>
            </w:r>
          </w:p>
        </w:tc>
        <w:tc>
          <w:tcPr>
            <w:tcW w:w="709" w:type="dxa"/>
            <w:shd w:val="clear" w:color="auto" w:fill="auto"/>
          </w:tcPr>
          <w:p w14:paraId="6476E73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w:t>
            </w:r>
          </w:p>
        </w:tc>
        <w:tc>
          <w:tcPr>
            <w:tcW w:w="850" w:type="dxa"/>
            <w:shd w:val="clear" w:color="auto" w:fill="auto"/>
          </w:tcPr>
          <w:p w14:paraId="4090E6F2"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,5</w:t>
            </w:r>
          </w:p>
        </w:tc>
        <w:tc>
          <w:tcPr>
            <w:tcW w:w="851" w:type="dxa"/>
            <w:shd w:val="clear" w:color="auto" w:fill="auto"/>
          </w:tcPr>
          <w:p w14:paraId="11F8B41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199</w:t>
            </w:r>
          </w:p>
        </w:tc>
        <w:tc>
          <w:tcPr>
            <w:tcW w:w="854" w:type="dxa"/>
            <w:shd w:val="clear" w:color="auto" w:fill="auto"/>
          </w:tcPr>
          <w:p w14:paraId="0D20EE6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99,5</w:t>
            </w:r>
          </w:p>
        </w:tc>
        <w:tc>
          <w:tcPr>
            <w:tcW w:w="850" w:type="dxa"/>
            <w:shd w:val="clear" w:color="auto" w:fill="auto"/>
          </w:tcPr>
          <w:p w14:paraId="4367CE4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006124E2"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1BBA1BB0" w14:textId="77777777">
        <w:tc>
          <w:tcPr>
            <w:tcW w:w="534" w:type="dxa"/>
            <w:shd w:val="clear" w:color="auto" w:fill="auto"/>
          </w:tcPr>
          <w:p w14:paraId="4139B54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w:t>
            </w:r>
          </w:p>
        </w:tc>
        <w:tc>
          <w:tcPr>
            <w:tcW w:w="3685" w:type="dxa"/>
            <w:shd w:val="clear" w:color="auto" w:fill="auto"/>
          </w:tcPr>
          <w:p w14:paraId="5DECFD9F"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Refrigerator Storage in the Home</w:t>
            </w:r>
          </w:p>
        </w:tc>
        <w:tc>
          <w:tcPr>
            <w:tcW w:w="709" w:type="dxa"/>
            <w:shd w:val="clear" w:color="auto" w:fill="auto"/>
          </w:tcPr>
          <w:p w14:paraId="67CAB4D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0</w:t>
            </w:r>
          </w:p>
        </w:tc>
        <w:tc>
          <w:tcPr>
            <w:tcW w:w="850" w:type="dxa"/>
            <w:shd w:val="clear" w:color="auto" w:fill="auto"/>
          </w:tcPr>
          <w:p w14:paraId="6689AF5E"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0</w:t>
            </w:r>
          </w:p>
        </w:tc>
        <w:tc>
          <w:tcPr>
            <w:tcW w:w="851" w:type="dxa"/>
            <w:shd w:val="clear" w:color="auto" w:fill="auto"/>
          </w:tcPr>
          <w:p w14:paraId="4B19999E"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854" w:type="dxa"/>
            <w:shd w:val="clear" w:color="auto" w:fill="auto"/>
          </w:tcPr>
          <w:p w14:paraId="30270E87"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100,0</w:t>
            </w:r>
          </w:p>
        </w:tc>
        <w:tc>
          <w:tcPr>
            <w:tcW w:w="850" w:type="dxa"/>
            <w:shd w:val="clear" w:color="auto" w:fill="auto"/>
          </w:tcPr>
          <w:p w14:paraId="6565197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72900FC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234FE035" w14:textId="77777777">
        <w:tc>
          <w:tcPr>
            <w:tcW w:w="534" w:type="dxa"/>
            <w:shd w:val="clear" w:color="auto" w:fill="auto"/>
          </w:tcPr>
          <w:p w14:paraId="4DC4F30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lastRenderedPageBreak/>
              <w:t>10</w:t>
            </w:r>
          </w:p>
        </w:tc>
        <w:tc>
          <w:tcPr>
            <w:tcW w:w="3685" w:type="dxa"/>
            <w:shd w:val="clear" w:color="auto" w:fill="auto"/>
          </w:tcPr>
          <w:p w14:paraId="17ACF179"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Outdoor Refrigerator Storage</w:t>
            </w:r>
          </w:p>
        </w:tc>
        <w:tc>
          <w:tcPr>
            <w:tcW w:w="709" w:type="dxa"/>
            <w:shd w:val="clear" w:color="auto" w:fill="auto"/>
          </w:tcPr>
          <w:p w14:paraId="60B867D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0</w:t>
            </w:r>
          </w:p>
        </w:tc>
        <w:tc>
          <w:tcPr>
            <w:tcW w:w="850" w:type="dxa"/>
            <w:shd w:val="clear" w:color="auto" w:fill="auto"/>
          </w:tcPr>
          <w:p w14:paraId="1D7404B0"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0</w:t>
            </w:r>
          </w:p>
        </w:tc>
        <w:tc>
          <w:tcPr>
            <w:tcW w:w="851" w:type="dxa"/>
            <w:shd w:val="clear" w:color="auto" w:fill="auto"/>
          </w:tcPr>
          <w:p w14:paraId="06E49128"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854" w:type="dxa"/>
            <w:shd w:val="clear" w:color="auto" w:fill="auto"/>
          </w:tcPr>
          <w:p w14:paraId="09A16E5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100,0</w:t>
            </w:r>
          </w:p>
        </w:tc>
        <w:tc>
          <w:tcPr>
            <w:tcW w:w="850" w:type="dxa"/>
            <w:shd w:val="clear" w:color="auto" w:fill="auto"/>
          </w:tcPr>
          <w:p w14:paraId="1113E6E4"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438D6B08"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33A0419E" w14:textId="77777777">
        <w:tc>
          <w:tcPr>
            <w:tcW w:w="534" w:type="dxa"/>
            <w:shd w:val="clear" w:color="auto" w:fill="auto"/>
          </w:tcPr>
          <w:p w14:paraId="4A5923F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11</w:t>
            </w:r>
          </w:p>
        </w:tc>
        <w:tc>
          <w:tcPr>
            <w:tcW w:w="3685" w:type="dxa"/>
            <w:shd w:val="clear" w:color="auto" w:fill="auto"/>
          </w:tcPr>
          <w:p w14:paraId="58C5F5AD"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Water channel in the house</w:t>
            </w:r>
          </w:p>
        </w:tc>
        <w:tc>
          <w:tcPr>
            <w:tcW w:w="709" w:type="dxa"/>
            <w:shd w:val="clear" w:color="auto" w:fill="auto"/>
          </w:tcPr>
          <w:p w14:paraId="3D6ECF1B"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w:t>
            </w:r>
          </w:p>
        </w:tc>
        <w:tc>
          <w:tcPr>
            <w:tcW w:w="850" w:type="dxa"/>
            <w:shd w:val="clear" w:color="auto" w:fill="auto"/>
          </w:tcPr>
          <w:p w14:paraId="5F0C0FCE"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,5</w:t>
            </w:r>
          </w:p>
        </w:tc>
        <w:tc>
          <w:tcPr>
            <w:tcW w:w="851" w:type="dxa"/>
            <w:shd w:val="clear" w:color="auto" w:fill="auto"/>
          </w:tcPr>
          <w:p w14:paraId="6CC7393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199</w:t>
            </w:r>
          </w:p>
        </w:tc>
        <w:tc>
          <w:tcPr>
            <w:tcW w:w="854" w:type="dxa"/>
            <w:shd w:val="clear" w:color="auto" w:fill="auto"/>
          </w:tcPr>
          <w:p w14:paraId="31EBA61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99,5</w:t>
            </w:r>
          </w:p>
        </w:tc>
        <w:tc>
          <w:tcPr>
            <w:tcW w:w="850" w:type="dxa"/>
            <w:shd w:val="clear" w:color="auto" w:fill="auto"/>
          </w:tcPr>
          <w:p w14:paraId="38506EFE"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00BED28E"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0C45DDDE" w14:textId="77777777">
        <w:tc>
          <w:tcPr>
            <w:tcW w:w="534" w:type="dxa"/>
            <w:shd w:val="clear" w:color="auto" w:fill="auto"/>
          </w:tcPr>
          <w:p w14:paraId="26020E70"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12</w:t>
            </w:r>
          </w:p>
        </w:tc>
        <w:tc>
          <w:tcPr>
            <w:tcW w:w="3685" w:type="dxa"/>
            <w:shd w:val="clear" w:color="auto" w:fill="auto"/>
          </w:tcPr>
          <w:p w14:paraId="37F09AF8"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Outdoor Water Channels</w:t>
            </w:r>
          </w:p>
        </w:tc>
        <w:tc>
          <w:tcPr>
            <w:tcW w:w="709" w:type="dxa"/>
            <w:shd w:val="clear" w:color="auto" w:fill="auto"/>
          </w:tcPr>
          <w:p w14:paraId="2475E7B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w:t>
            </w:r>
          </w:p>
        </w:tc>
        <w:tc>
          <w:tcPr>
            <w:tcW w:w="850" w:type="dxa"/>
            <w:shd w:val="clear" w:color="auto" w:fill="auto"/>
          </w:tcPr>
          <w:p w14:paraId="5A47EBF7"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,5</w:t>
            </w:r>
          </w:p>
        </w:tc>
        <w:tc>
          <w:tcPr>
            <w:tcW w:w="851" w:type="dxa"/>
            <w:shd w:val="clear" w:color="auto" w:fill="auto"/>
          </w:tcPr>
          <w:p w14:paraId="14344650"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199</w:t>
            </w:r>
          </w:p>
        </w:tc>
        <w:tc>
          <w:tcPr>
            <w:tcW w:w="854" w:type="dxa"/>
            <w:shd w:val="clear" w:color="auto" w:fill="auto"/>
          </w:tcPr>
          <w:p w14:paraId="347A2DE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99,5</w:t>
            </w:r>
          </w:p>
        </w:tc>
        <w:tc>
          <w:tcPr>
            <w:tcW w:w="850" w:type="dxa"/>
            <w:shd w:val="clear" w:color="auto" w:fill="auto"/>
          </w:tcPr>
          <w:p w14:paraId="4E3FAB4B"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7B9B34C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38A758B4" w14:textId="77777777">
        <w:tc>
          <w:tcPr>
            <w:tcW w:w="534" w:type="dxa"/>
            <w:shd w:val="clear" w:color="auto" w:fill="auto"/>
          </w:tcPr>
          <w:p w14:paraId="6F5D3A14"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13</w:t>
            </w:r>
          </w:p>
        </w:tc>
        <w:tc>
          <w:tcPr>
            <w:tcW w:w="3685" w:type="dxa"/>
            <w:shd w:val="clear" w:color="auto" w:fill="auto"/>
          </w:tcPr>
          <w:p w14:paraId="668A0674"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Storage of Dispensers in the House</w:t>
            </w:r>
          </w:p>
        </w:tc>
        <w:tc>
          <w:tcPr>
            <w:tcW w:w="709" w:type="dxa"/>
            <w:shd w:val="clear" w:color="auto" w:fill="auto"/>
          </w:tcPr>
          <w:p w14:paraId="58266D4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3</w:t>
            </w:r>
          </w:p>
        </w:tc>
        <w:tc>
          <w:tcPr>
            <w:tcW w:w="850" w:type="dxa"/>
            <w:shd w:val="clear" w:color="auto" w:fill="auto"/>
          </w:tcPr>
          <w:p w14:paraId="553B0E2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1,5</w:t>
            </w:r>
          </w:p>
        </w:tc>
        <w:tc>
          <w:tcPr>
            <w:tcW w:w="851" w:type="dxa"/>
            <w:shd w:val="clear" w:color="auto" w:fill="auto"/>
          </w:tcPr>
          <w:p w14:paraId="559B452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197</w:t>
            </w:r>
          </w:p>
        </w:tc>
        <w:tc>
          <w:tcPr>
            <w:tcW w:w="854" w:type="dxa"/>
            <w:shd w:val="clear" w:color="auto" w:fill="auto"/>
          </w:tcPr>
          <w:p w14:paraId="40B82E6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98,5</w:t>
            </w:r>
          </w:p>
        </w:tc>
        <w:tc>
          <w:tcPr>
            <w:tcW w:w="850" w:type="dxa"/>
            <w:shd w:val="clear" w:color="auto" w:fill="auto"/>
          </w:tcPr>
          <w:p w14:paraId="74D9D5D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63EDE642"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6C3AD392" w14:textId="77777777">
        <w:tc>
          <w:tcPr>
            <w:tcW w:w="534" w:type="dxa"/>
            <w:shd w:val="clear" w:color="auto" w:fill="auto"/>
          </w:tcPr>
          <w:p w14:paraId="0702CC5B"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14</w:t>
            </w:r>
          </w:p>
        </w:tc>
        <w:tc>
          <w:tcPr>
            <w:tcW w:w="3685" w:type="dxa"/>
            <w:shd w:val="clear" w:color="auto" w:fill="auto"/>
          </w:tcPr>
          <w:p w14:paraId="1166862B"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Outdoor Dispenser Housing</w:t>
            </w:r>
          </w:p>
        </w:tc>
        <w:tc>
          <w:tcPr>
            <w:tcW w:w="709" w:type="dxa"/>
            <w:shd w:val="clear" w:color="auto" w:fill="auto"/>
          </w:tcPr>
          <w:p w14:paraId="2535E18F"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w:t>
            </w:r>
          </w:p>
        </w:tc>
        <w:tc>
          <w:tcPr>
            <w:tcW w:w="850" w:type="dxa"/>
            <w:shd w:val="clear" w:color="auto" w:fill="auto"/>
          </w:tcPr>
          <w:p w14:paraId="1F1AFECC"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,5</w:t>
            </w:r>
          </w:p>
        </w:tc>
        <w:tc>
          <w:tcPr>
            <w:tcW w:w="851" w:type="dxa"/>
            <w:shd w:val="clear" w:color="auto" w:fill="auto"/>
          </w:tcPr>
          <w:p w14:paraId="69AD956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199</w:t>
            </w:r>
          </w:p>
        </w:tc>
        <w:tc>
          <w:tcPr>
            <w:tcW w:w="854" w:type="dxa"/>
            <w:shd w:val="clear" w:color="auto" w:fill="auto"/>
          </w:tcPr>
          <w:p w14:paraId="43495A3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99,5</w:t>
            </w:r>
          </w:p>
        </w:tc>
        <w:tc>
          <w:tcPr>
            <w:tcW w:w="850" w:type="dxa"/>
            <w:shd w:val="clear" w:color="auto" w:fill="auto"/>
          </w:tcPr>
          <w:p w14:paraId="70171352"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404D3018"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1EFCFD14" w14:textId="77777777">
        <w:tc>
          <w:tcPr>
            <w:tcW w:w="534" w:type="dxa"/>
            <w:shd w:val="clear" w:color="auto" w:fill="auto"/>
          </w:tcPr>
          <w:p w14:paraId="27D3737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15</w:t>
            </w:r>
          </w:p>
        </w:tc>
        <w:tc>
          <w:tcPr>
            <w:tcW w:w="3685" w:type="dxa"/>
            <w:shd w:val="clear" w:color="auto" w:fill="auto"/>
          </w:tcPr>
          <w:p w14:paraId="7602482A"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Bathtub in the house</w:t>
            </w:r>
          </w:p>
        </w:tc>
        <w:tc>
          <w:tcPr>
            <w:tcW w:w="709" w:type="dxa"/>
            <w:shd w:val="clear" w:color="auto" w:fill="auto"/>
          </w:tcPr>
          <w:p w14:paraId="50977795"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8</w:t>
            </w:r>
          </w:p>
        </w:tc>
        <w:tc>
          <w:tcPr>
            <w:tcW w:w="850" w:type="dxa"/>
            <w:shd w:val="clear" w:color="auto" w:fill="auto"/>
          </w:tcPr>
          <w:p w14:paraId="5DD36093"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4,0</w:t>
            </w:r>
          </w:p>
        </w:tc>
        <w:tc>
          <w:tcPr>
            <w:tcW w:w="851" w:type="dxa"/>
            <w:shd w:val="clear" w:color="auto" w:fill="auto"/>
          </w:tcPr>
          <w:p w14:paraId="112CD241"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192</w:t>
            </w:r>
          </w:p>
        </w:tc>
        <w:tc>
          <w:tcPr>
            <w:tcW w:w="854" w:type="dxa"/>
            <w:shd w:val="clear" w:color="auto" w:fill="auto"/>
          </w:tcPr>
          <w:p w14:paraId="7F8ABBD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96,0</w:t>
            </w:r>
          </w:p>
        </w:tc>
        <w:tc>
          <w:tcPr>
            <w:tcW w:w="850" w:type="dxa"/>
            <w:shd w:val="clear" w:color="auto" w:fill="auto"/>
          </w:tcPr>
          <w:p w14:paraId="0854F1B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3DCA8FD7"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r w:rsidR="00FB36C5" w:rsidRPr="00405ECB" w14:paraId="23589113" w14:textId="77777777">
        <w:tc>
          <w:tcPr>
            <w:tcW w:w="534" w:type="dxa"/>
            <w:shd w:val="clear" w:color="auto" w:fill="auto"/>
          </w:tcPr>
          <w:p w14:paraId="6A85B72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16</w:t>
            </w:r>
          </w:p>
        </w:tc>
        <w:tc>
          <w:tcPr>
            <w:tcW w:w="3685" w:type="dxa"/>
            <w:shd w:val="clear" w:color="auto" w:fill="auto"/>
          </w:tcPr>
          <w:p w14:paraId="26D0AA5D" w14:textId="77777777" w:rsidR="00FB36C5" w:rsidRPr="00405ECB" w:rsidRDefault="0042655A" w:rsidP="00405ECB">
            <w:pPr>
              <w:tabs>
                <w:tab w:val="right" w:pos="567"/>
              </w:tabs>
              <w:spacing w:after="0" w:line="276" w:lineRule="auto"/>
              <w:ind w:hanging="2"/>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Outdoor bathtub</w:t>
            </w:r>
          </w:p>
        </w:tc>
        <w:tc>
          <w:tcPr>
            <w:tcW w:w="709" w:type="dxa"/>
            <w:shd w:val="clear" w:color="auto" w:fill="auto"/>
          </w:tcPr>
          <w:p w14:paraId="2E247F0A"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0</w:t>
            </w:r>
          </w:p>
        </w:tc>
        <w:tc>
          <w:tcPr>
            <w:tcW w:w="850" w:type="dxa"/>
            <w:shd w:val="clear" w:color="auto" w:fill="auto"/>
          </w:tcPr>
          <w:p w14:paraId="492A6086"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0</w:t>
            </w:r>
          </w:p>
        </w:tc>
        <w:tc>
          <w:tcPr>
            <w:tcW w:w="851" w:type="dxa"/>
            <w:shd w:val="clear" w:color="auto" w:fill="auto"/>
          </w:tcPr>
          <w:p w14:paraId="79C5CFDD"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854" w:type="dxa"/>
            <w:shd w:val="clear" w:color="auto" w:fill="auto"/>
          </w:tcPr>
          <w:p w14:paraId="34C453A9"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100,0</w:t>
            </w:r>
          </w:p>
        </w:tc>
        <w:tc>
          <w:tcPr>
            <w:tcW w:w="850" w:type="dxa"/>
            <w:shd w:val="clear" w:color="auto" w:fill="auto"/>
          </w:tcPr>
          <w:p w14:paraId="6ACA5654"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200</w:t>
            </w:r>
          </w:p>
        </w:tc>
        <w:tc>
          <w:tcPr>
            <w:tcW w:w="996" w:type="dxa"/>
            <w:shd w:val="clear" w:color="auto" w:fill="auto"/>
          </w:tcPr>
          <w:p w14:paraId="6F5ECFD8" w14:textId="77777777" w:rsidR="00FB36C5" w:rsidRPr="00405ECB" w:rsidRDefault="0042655A" w:rsidP="00405ECB">
            <w:pPr>
              <w:tabs>
                <w:tab w:val="right" w:pos="567"/>
              </w:tabs>
              <w:spacing w:after="0" w:line="276" w:lineRule="auto"/>
              <w:ind w:hanging="2"/>
              <w:jc w:val="center"/>
              <w:rPr>
                <w:rFonts w:asciiTheme="majorHAnsi" w:hAnsiTheme="majorHAnsi" w:cstheme="majorHAnsi"/>
                <w:color w:val="000000"/>
                <w:sz w:val="24"/>
                <w:szCs w:val="24"/>
              </w:rPr>
            </w:pPr>
            <w:r w:rsidRPr="00405ECB">
              <w:rPr>
                <w:rFonts w:asciiTheme="majorHAnsi" w:hAnsiTheme="majorHAnsi" w:cstheme="majorHAnsi"/>
                <w:color w:val="000000"/>
                <w:sz w:val="24"/>
                <w:szCs w:val="24"/>
              </w:rPr>
              <w:t>100</w:t>
            </w:r>
          </w:p>
        </w:tc>
      </w:tr>
    </w:tbl>
    <w:p w14:paraId="17C24645" w14:textId="77777777" w:rsidR="00FB36C5" w:rsidRPr="00405ECB" w:rsidRDefault="00FB36C5" w:rsidP="00405ECB">
      <w:pPr>
        <w:tabs>
          <w:tab w:val="right" w:pos="567"/>
        </w:tabs>
        <w:spacing w:after="0" w:line="276" w:lineRule="auto"/>
        <w:ind w:hanging="2"/>
        <w:jc w:val="center"/>
        <w:rPr>
          <w:rFonts w:asciiTheme="majorHAnsi" w:hAnsiTheme="majorHAnsi" w:cstheme="majorHAnsi"/>
          <w:b/>
          <w:color w:val="000000"/>
          <w:sz w:val="24"/>
          <w:szCs w:val="24"/>
        </w:rPr>
        <w:sectPr w:rsidR="00FB36C5" w:rsidRPr="00405ECB">
          <w:type w:val="continuous"/>
          <w:pgSz w:w="12240" w:h="15840"/>
          <w:pgMar w:top="1440" w:right="1440" w:bottom="1440" w:left="1440" w:header="708" w:footer="227" w:gutter="0"/>
          <w:cols w:space="720"/>
        </w:sectPr>
      </w:pPr>
    </w:p>
    <w:p w14:paraId="130E79AB" w14:textId="738DC3D3" w:rsidR="00FB36C5" w:rsidRPr="00405ECB" w:rsidRDefault="0042655A" w:rsidP="00405ECB">
      <w:pPr>
        <w:tabs>
          <w:tab w:val="right" w:pos="567"/>
        </w:tabs>
        <w:spacing w:after="0" w:line="276" w:lineRule="auto"/>
        <w:jc w:val="both"/>
        <w:rPr>
          <w:rFonts w:asciiTheme="majorHAnsi" w:hAnsiTheme="majorHAnsi" w:cstheme="majorHAnsi"/>
          <w:color w:val="000000"/>
          <w:sz w:val="24"/>
          <w:szCs w:val="24"/>
        </w:rPr>
      </w:pPr>
      <w:r w:rsidRPr="00405ECB">
        <w:rPr>
          <w:rFonts w:asciiTheme="majorHAnsi" w:hAnsiTheme="majorHAnsi" w:cstheme="majorHAnsi"/>
          <w:color w:val="000000"/>
          <w:sz w:val="24"/>
          <w:szCs w:val="24"/>
        </w:rPr>
        <w:tab/>
      </w:r>
      <w:r w:rsidRPr="00405ECB">
        <w:rPr>
          <w:rFonts w:asciiTheme="majorHAnsi" w:hAnsiTheme="majorHAnsi" w:cstheme="majorHAnsi"/>
          <w:color w:val="000000"/>
          <w:sz w:val="24"/>
          <w:szCs w:val="24"/>
        </w:rPr>
        <w:tab/>
      </w:r>
      <w:r w:rsidR="00E10074" w:rsidRPr="00405ECB">
        <w:rPr>
          <w:rFonts w:asciiTheme="majorHAnsi" w:hAnsiTheme="majorHAnsi" w:cstheme="majorHAnsi"/>
          <w:sz w:val="24"/>
          <w:szCs w:val="24"/>
        </w:rPr>
        <w:t xml:space="preserve"> The table shows that 3,200 containers were obtained from the 200 houses inspected. There are 77 containers containing larvae. </w:t>
      </w:r>
      <w:proofErr w:type="gramStart"/>
      <w:r w:rsidR="00E10074" w:rsidRPr="00405ECB">
        <w:rPr>
          <w:rFonts w:asciiTheme="majorHAnsi" w:hAnsiTheme="majorHAnsi" w:cstheme="majorHAnsi"/>
          <w:sz w:val="24"/>
          <w:szCs w:val="24"/>
        </w:rPr>
        <w:t>So</w:t>
      </w:r>
      <w:proofErr w:type="gramEnd"/>
      <w:r w:rsidR="00AC46ED">
        <w:rPr>
          <w:rFonts w:asciiTheme="majorHAnsi" w:hAnsiTheme="majorHAnsi" w:cstheme="majorHAnsi"/>
          <w:sz w:val="24"/>
          <w:szCs w:val="24"/>
        </w:rPr>
        <w:t xml:space="preserve"> </w:t>
      </w:r>
      <w:r w:rsidR="00E10074" w:rsidRPr="00405ECB">
        <w:rPr>
          <w:rStyle w:val="Emphasis"/>
          <w:rFonts w:asciiTheme="majorHAnsi" w:hAnsiTheme="majorHAnsi" w:cstheme="majorHAnsi"/>
          <w:color w:val="0E101A"/>
          <w:sz w:val="24"/>
          <w:szCs w:val="24"/>
        </w:rPr>
        <w:t>Container index</w:t>
      </w:r>
      <w:r w:rsidR="00E10074" w:rsidRPr="00405ECB">
        <w:rPr>
          <w:rFonts w:asciiTheme="majorHAnsi" w:hAnsiTheme="majorHAnsi" w:cstheme="majorHAnsi"/>
          <w:sz w:val="24"/>
          <w:szCs w:val="24"/>
        </w:rPr>
        <w:t xml:space="preserve"> received: 2.4 This shows </w:t>
      </w:r>
      <w:proofErr w:type="spellStart"/>
      <w:r w:rsidR="00E10074" w:rsidRPr="00405ECB">
        <w:rPr>
          <w:rFonts w:asciiTheme="majorHAnsi" w:hAnsiTheme="majorHAnsi" w:cstheme="majorHAnsi"/>
          <w:sz w:val="24"/>
          <w:szCs w:val="24"/>
        </w:rPr>
        <w:t>in</w:t>
      </w:r>
      <w:r w:rsidR="00E10074" w:rsidRPr="00405ECB">
        <w:rPr>
          <w:rStyle w:val="Emphasis"/>
          <w:rFonts w:asciiTheme="majorHAnsi" w:hAnsiTheme="majorHAnsi" w:cstheme="majorHAnsi"/>
          <w:color w:val="0E101A"/>
          <w:sz w:val="24"/>
          <w:szCs w:val="24"/>
        </w:rPr>
        <w:t>density</w:t>
      </w:r>
      <w:proofErr w:type="spellEnd"/>
      <w:r w:rsidR="00E10074" w:rsidRPr="00405ECB">
        <w:rPr>
          <w:rStyle w:val="Emphasis"/>
          <w:rFonts w:asciiTheme="majorHAnsi" w:hAnsiTheme="majorHAnsi" w:cstheme="majorHAnsi"/>
          <w:color w:val="0E101A"/>
          <w:sz w:val="24"/>
          <w:szCs w:val="24"/>
        </w:rPr>
        <w:t xml:space="preserve"> figures</w:t>
      </w:r>
      <w:r w:rsidR="00E10074" w:rsidRPr="00405ECB">
        <w:rPr>
          <w:rFonts w:asciiTheme="majorHAnsi" w:hAnsiTheme="majorHAnsi" w:cstheme="majorHAnsi"/>
          <w:sz w:val="24"/>
          <w:szCs w:val="24"/>
        </w:rPr>
        <w:t> at low density (1).</w:t>
      </w:r>
    </w:p>
    <w:p w14:paraId="2D5E5C3B" w14:textId="77777777" w:rsidR="00FB36C5" w:rsidRPr="00405ECB" w:rsidRDefault="0042655A" w:rsidP="00837025">
      <w:pPr>
        <w:spacing w:line="276" w:lineRule="auto"/>
        <w:ind w:left="-1134"/>
        <w:jc w:val="center"/>
        <w:rPr>
          <w:rFonts w:asciiTheme="majorHAnsi" w:eastAsia="Cambria Math" w:hAnsiTheme="majorHAnsi" w:cstheme="majorHAnsi"/>
          <w:sz w:val="24"/>
          <w:szCs w:val="24"/>
        </w:rPr>
      </w:pPr>
      <m:oMathPara>
        <m:oMath>
          <m:r>
            <w:rPr>
              <w:rFonts w:ascii="Cambria Math" w:eastAsia="Cambria Math" w:hAnsi="Cambria Math" w:cstheme="majorHAnsi"/>
            </w:rPr>
            <m:t>Container Index</m:t>
          </m:r>
          <m:d>
            <m:dPr>
              <m:ctrlPr>
                <w:rPr>
                  <w:rFonts w:ascii="Cambria Math" w:eastAsia="Cambria Math" w:hAnsi="Cambria Math" w:cstheme="majorHAnsi"/>
                </w:rPr>
              </m:ctrlPr>
            </m:dPr>
            <m:e>
              <m:r>
                <w:rPr>
                  <w:rFonts w:ascii="Cambria Math" w:eastAsia="Cambria Math" w:hAnsi="Cambria Math" w:cstheme="majorHAnsi"/>
                </w:rPr>
                <m:t>THERE</m:t>
              </m:r>
            </m:e>
          </m:d>
          <m:r>
            <w:rPr>
              <w:rFonts w:ascii="Cambria Math" w:eastAsia="Cambria Math" w:hAnsi="Cambria Math" w:cstheme="majorHAnsi"/>
            </w:rPr>
            <m:t>=</m:t>
          </m:r>
          <m:f>
            <m:fPr>
              <m:ctrlPr>
                <w:rPr>
                  <w:rFonts w:ascii="Cambria Math" w:eastAsia="Cambria Math" w:hAnsi="Cambria Math" w:cstheme="majorHAnsi"/>
                </w:rPr>
              </m:ctrlPr>
            </m:fPr>
            <m:num>
              <m:r>
                <w:rPr>
                  <w:rFonts w:ascii="Cambria Math" w:eastAsia="Cambria Math" w:hAnsi="Cambria Math" w:cstheme="majorHAnsi"/>
                </w:rPr>
                <m:t>Number of Positive Flick Containers</m:t>
              </m:r>
            </m:num>
            <m:den>
              <m:r>
                <w:rPr>
                  <w:rFonts w:ascii="Cambria Math" w:eastAsia="Cambria Math" w:hAnsi="Cambria Math" w:cstheme="majorHAnsi"/>
                </w:rPr>
                <m:t>Number of Containers Inspected</m:t>
              </m:r>
            </m:den>
          </m:f>
          <m:r>
            <w:rPr>
              <w:rFonts w:ascii="Cambria Math" w:eastAsia="Cambria Math" w:hAnsi="Cambria Math" w:cstheme="majorHAnsi"/>
            </w:rPr>
            <m:t>X 100%</m:t>
          </m:r>
        </m:oMath>
      </m:oMathPara>
    </w:p>
    <w:p w14:paraId="18050560" w14:textId="77777777" w:rsidR="00FB36C5" w:rsidRPr="00405ECB" w:rsidRDefault="0042655A" w:rsidP="00405ECB">
      <w:pPr>
        <w:spacing w:line="276" w:lineRule="auto"/>
        <w:ind w:left="-709"/>
        <w:rPr>
          <w:rFonts w:asciiTheme="majorHAnsi" w:eastAsia="Cambria Math" w:hAnsiTheme="majorHAnsi" w:cstheme="majorHAnsi"/>
          <w:sz w:val="24"/>
          <w:szCs w:val="24"/>
        </w:rPr>
      </w:pPr>
      <m:oMathPara>
        <m:oMath>
          <m:r>
            <w:rPr>
              <w:rFonts w:ascii="Cambria Math" w:eastAsia="Cambria Math" w:hAnsi="Cambria Math" w:cstheme="majorHAnsi"/>
              <w:sz w:val="24"/>
              <w:szCs w:val="24"/>
            </w:rPr>
            <m:t xml:space="preserve">                Container Index</m:t>
          </m:r>
          <m:d>
            <m:dPr>
              <m:ctrlPr>
                <w:rPr>
                  <w:rFonts w:ascii="Cambria Math" w:eastAsia="Cambria Math" w:hAnsi="Cambria Math" w:cstheme="majorHAnsi"/>
                  <w:sz w:val="24"/>
                  <w:szCs w:val="24"/>
                </w:rPr>
              </m:ctrlPr>
            </m:dPr>
            <m:e>
              <m:r>
                <w:rPr>
                  <w:rFonts w:ascii="Cambria Math" w:eastAsia="Cambria Math" w:hAnsi="Cambria Math" w:cstheme="majorHAnsi"/>
                  <w:sz w:val="24"/>
                  <w:szCs w:val="24"/>
                </w:rPr>
                <m:t>THERE</m:t>
              </m:r>
            </m:e>
          </m:d>
          <m:r>
            <w:rPr>
              <w:rFonts w:ascii="Cambria Math" w:eastAsia="Cambria Math" w:hAnsi="Cambria Math" w:cstheme="majorHAnsi"/>
              <w:sz w:val="24"/>
              <w:szCs w:val="24"/>
            </w:rPr>
            <m:t>=</m:t>
          </m:r>
          <m:f>
            <m:fPr>
              <m:ctrlPr>
                <w:rPr>
                  <w:rFonts w:ascii="Cambria Math" w:eastAsia="Cambria Math" w:hAnsi="Cambria Math" w:cstheme="majorHAnsi"/>
                  <w:sz w:val="24"/>
                  <w:szCs w:val="24"/>
                </w:rPr>
              </m:ctrlPr>
            </m:fPr>
            <m:num>
              <m:r>
                <w:rPr>
                  <w:rFonts w:ascii="Cambria Math" w:eastAsia="Cambria Math" w:hAnsi="Cambria Math" w:cstheme="majorHAnsi"/>
                  <w:sz w:val="24"/>
                  <w:szCs w:val="24"/>
                </w:rPr>
                <m:t xml:space="preserve">77  </m:t>
              </m:r>
            </m:num>
            <m:den>
              <m:r>
                <w:rPr>
                  <w:rFonts w:ascii="Cambria Math" w:eastAsia="Cambria Math" w:hAnsi="Cambria Math" w:cstheme="majorHAnsi"/>
                  <w:sz w:val="24"/>
                  <w:szCs w:val="24"/>
                </w:rPr>
                <m:t>3200</m:t>
              </m:r>
            </m:den>
          </m:f>
          <m:r>
            <w:rPr>
              <w:rFonts w:ascii="Cambria Math" w:eastAsia="Cambria Math" w:hAnsi="Cambria Math" w:cstheme="majorHAnsi"/>
              <w:sz w:val="24"/>
              <w:szCs w:val="24"/>
            </w:rPr>
            <m:t>X 100%</m:t>
          </m:r>
        </m:oMath>
      </m:oMathPara>
    </w:p>
    <w:p w14:paraId="13ABE15C" w14:textId="77777777" w:rsidR="00FB36C5" w:rsidRPr="00405ECB" w:rsidRDefault="0042655A" w:rsidP="00405ECB">
      <w:pPr>
        <w:pBdr>
          <w:top w:val="nil"/>
          <w:left w:val="nil"/>
          <w:bottom w:val="nil"/>
          <w:right w:val="nil"/>
          <w:between w:val="nil"/>
        </w:pBdr>
        <w:spacing w:after="120" w:line="276" w:lineRule="auto"/>
        <w:ind w:right="-36" w:hanging="2"/>
        <w:jc w:val="both"/>
        <w:rPr>
          <w:rFonts w:asciiTheme="majorHAnsi" w:hAnsiTheme="majorHAnsi" w:cstheme="majorHAnsi"/>
          <w:color w:val="000000"/>
          <w:sz w:val="24"/>
          <w:szCs w:val="24"/>
        </w:rPr>
      </w:pPr>
      <w:r w:rsidRPr="00405ECB">
        <w:rPr>
          <w:rFonts w:asciiTheme="majorHAnsi" w:hAnsiTheme="majorHAnsi" w:cstheme="majorHAnsi"/>
          <w:i/>
          <w:color w:val="000000"/>
          <w:sz w:val="24"/>
          <w:szCs w:val="24"/>
        </w:rPr>
        <w:t xml:space="preserve">              Container Index</w:t>
      </w:r>
      <w:r w:rsidRPr="00405ECB">
        <w:rPr>
          <w:rFonts w:asciiTheme="majorHAnsi" w:hAnsiTheme="majorHAnsi" w:cstheme="majorHAnsi"/>
          <w:color w:val="000000"/>
          <w:sz w:val="24"/>
          <w:szCs w:val="24"/>
        </w:rPr>
        <w:t xml:space="preserve"> (HI) = 2,4 %</w:t>
      </w:r>
    </w:p>
    <w:p w14:paraId="3EDDE63F" w14:textId="77777777" w:rsidR="00545314" w:rsidRPr="00405ECB" w:rsidRDefault="00545314" w:rsidP="00405ECB">
      <w:pPr>
        <w:pStyle w:val="NormalWeb"/>
        <w:spacing w:before="0" w:beforeAutospacing="0" w:after="0" w:afterAutospacing="0" w:line="276" w:lineRule="auto"/>
        <w:rPr>
          <w:rFonts w:asciiTheme="majorHAnsi" w:hAnsiTheme="majorHAnsi" w:cstheme="majorHAnsi"/>
          <w:color w:val="0E101A"/>
        </w:rPr>
      </w:pPr>
      <w:r w:rsidRPr="00405ECB">
        <w:rPr>
          <w:rStyle w:val="Strong"/>
          <w:rFonts w:asciiTheme="majorHAnsi" w:hAnsiTheme="majorHAnsi" w:cstheme="majorHAnsi"/>
          <w:color w:val="0E101A"/>
        </w:rPr>
        <w:t>Distribution Pattern of DHF Incidence</w:t>
      </w:r>
    </w:p>
    <w:p w14:paraId="61D6C205" w14:textId="77777777" w:rsidR="00545314" w:rsidRPr="00405ECB" w:rsidRDefault="00545314"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 xml:space="preserve">The analysis results using Units show 4 clusters with the most likely cluster. There were 14 cases, p-value &lt;0.000001; RR: 2.28; radius: 6.45 km, which means that there is a grouping of instances (clusters) that are most at risk, having a risk level of 2.28 times getting dengue fever for sufferers who are inside the group compared to sufferers who are outside the cluster with a cluster radius of 6, 45 km. The second cluster contained 9 cases, p-value &lt;0.0001; RR: 4.84; radius: 9.08 km, which means that there is a grouping of instances (groups) that are most at risk, having a risk level of 4.84 times getting dengue fever for sufferers who are inside the </w:t>
      </w:r>
      <w:r w:rsidRPr="00405ECB">
        <w:rPr>
          <w:rFonts w:asciiTheme="majorHAnsi" w:hAnsiTheme="majorHAnsi" w:cstheme="majorHAnsi"/>
          <w:color w:val="0E101A"/>
        </w:rPr>
        <w:t>cluster compared to sufferers who are outside the group with a cluster radius of 9, 08 km.</w:t>
      </w:r>
    </w:p>
    <w:p w14:paraId="1328B345" w14:textId="77777777" w:rsidR="00277AC5" w:rsidRPr="00405ECB" w:rsidRDefault="00545314"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 xml:space="preserve">The third cluster contained 7 cases, p-value &lt;0.0001; RR: 5.18; radius: 4.48 km, which means there is a grouping of instances (groups) that are most at risk, having a risk level of 5.18 times getting dengue fever for sufferers who are inside the cluster compared to sufferers who are outside the group with a cluster radius of 4, 48 km. The fourth cluster contained 6 cases, p-value &lt;0.00001; RR: 3.86; radius: 3.83 km, which means that there is a grouping of instances (groups) that are most at risk, having a risk level of 3.86 times of getting dengue fever for sufferers who are inside the cluster compared to sufferers who are outside the group with a cluster radius of 3, 83 km. </w:t>
      </w:r>
    </w:p>
    <w:p w14:paraId="06DE306F" w14:textId="2DB0F615" w:rsidR="00545314" w:rsidRPr="00405ECB" w:rsidRDefault="00545314"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 xml:space="preserve">The results of analysis using the </w:t>
      </w:r>
      <w:proofErr w:type="spellStart"/>
      <w:r w:rsidRPr="00405ECB">
        <w:rPr>
          <w:rFonts w:asciiTheme="majorHAnsi" w:hAnsiTheme="majorHAnsi" w:cstheme="majorHAnsi"/>
          <w:color w:val="0E101A"/>
        </w:rPr>
        <w:t>Qgis</w:t>
      </w:r>
      <w:proofErr w:type="spellEnd"/>
      <w:r w:rsidRPr="00405ECB">
        <w:rPr>
          <w:rFonts w:asciiTheme="majorHAnsi" w:hAnsiTheme="majorHAnsi" w:cstheme="majorHAnsi"/>
          <w:color w:val="0E101A"/>
        </w:rPr>
        <w:t xml:space="preserve"> application show that population density is related to the level of distribution of dengue fever cases. The higher the population density in an area, the higher the risk of disease transmission in that area. This is supported by research </w:t>
      </w:r>
      <w:r w:rsidR="00756D2C" w:rsidRPr="00405ECB">
        <w:rPr>
          <w:rFonts w:asciiTheme="majorHAnsi" w:hAnsiTheme="majorHAnsi" w:cstheme="majorHAnsi"/>
        </w:rPr>
        <w:fldChar w:fldCharType="begin" w:fldLock="1"/>
      </w:r>
      <w:r w:rsidR="00756D2C" w:rsidRPr="00405ECB">
        <w:rPr>
          <w:rFonts w:asciiTheme="majorHAnsi" w:hAnsiTheme="majorHAnsi" w:cstheme="majorHAnsi"/>
        </w:rPr>
        <w:instrText>ADDIN CSL_CITATION {"citationItems":[{"id":"ITEM-1","itemData":{"DOI":"10.15294/ujph.v5i1.9703","ISSN":"2252-6781","abstract":"Abstrak\r Puskesmas Kedungmundu merupakan wilayah endemis DBD dengan kasus yang tinggi. Diperlukan upaya dalam menentukan kebijakan strategi pengendalian vektor secara efektif dan efisien. Analisis spasial dalam SIG dapat digunakan untuk mengetahui pola penyebaran dan daerah potensi penularan DBD. Jenis penelitian ini adalah penelitian deskriptif analitik menggunakan pendekatan cross sectional. Teknik pengambilan sampel menggunakan sampel wilayah memperhatikan proporsi sampel dengan jumlah sampel 146 responden. Pengambilan titik koordinat menggunakan GPS. Analisis data menggunakan analisis univariat dan analisis spasial. Hasil perhitungan statistik spasial ANN diperoleh nilai Z-score = -11,054 terdapat pola spasial kasus DBD di wilayah kerja Puskesmas Kedungmundu. Nilai ANN = 0,52 &lt; 1, artinya pola penyebaran kejadian DBD yang terjadi adalah berkerumun. Kesimpulan dalam penelitian ini sebaran kasus DBD memiliki keterkaitan secara spasial dengan kepadatan penduduk.\r Abstract\r Kedungmundu PHC is an endemich region with a high case. Be required to determine policy of vector control strategies effectively and efficiently. Spatial analsys in GIS can be used to determine the pattern of distribution and areas of DHF potential transmission. The type this research was analysis descriptive with cross sectional approach. The sampling technique used a sample area of attention to the proportion of the sample with 146 respondents of total sample. Capturing the coordinates used GPS. Data analisys used univariat and spatial analisys. Result of ANN obtained a Z-score= -11,054, there was a spatial pattern of dengue cases in Kedungmundu PHC. ANN value = 0,52 &lt; 1, it meant that the pattern of DHF distribution was clustered. The conclution of this research was DHF distribution cases has spatial correlation with density population.","author":[{"dropping-particle":"","family":"Kusuma","given":"Agcrista Permata","non-dropping-particle":"","parse-names":false,"suffix":""},{"dropping-particle":"","family":"Sukendra","given":"Dyah Mahendrasari","non-dropping-particle":"","parse-names":false,"suffix":""}],"container-title":"Unnes Journal of Public Health","id":"ITEM-1","issue":"1","issued":{"date-parts":[["2016"]]},"page":"48","title":"Analisis Spasial Kejadian Demam Berdarah Dengue Berdasarkan Kepadatan Penduduk","type":"article-journal","volume":"5"},"uris":["http://www.mendeley.com/documents/?uuid=07f9ce66-4d5c-4b0a-9b29-cdceddef512a","http://www.mendeley.com/documents/?uuid=16be471e-8aec-4baa-ae4b-ed3a443e317d","http://www.mendeley.com/documents/?uuid=1c668069-e5c1-48ea-98d8-8a07dbe50dd7"]}],"mendeley":{"formattedCitation":"(Kusuma &amp; Sukendra, 2016)","plainTextFormattedCitation":"(Kusuma &amp; Sukendra, 2016)","previouslyFormattedCitation":"(Kusuma &amp; Sukendra, 2016)"},"properties":{"noteIndex":0},"schema":"https://github.com/citation-style-language/schema/raw/master/csl-citation.json"}</w:instrText>
      </w:r>
      <w:r w:rsidR="00756D2C" w:rsidRPr="00405ECB">
        <w:rPr>
          <w:rFonts w:asciiTheme="majorHAnsi" w:hAnsiTheme="majorHAnsi" w:cstheme="majorHAnsi"/>
        </w:rPr>
        <w:fldChar w:fldCharType="separate"/>
      </w:r>
      <w:r w:rsidR="00756D2C" w:rsidRPr="00405ECB">
        <w:rPr>
          <w:rFonts w:asciiTheme="majorHAnsi" w:hAnsiTheme="majorHAnsi" w:cstheme="majorHAnsi"/>
          <w:noProof/>
        </w:rPr>
        <w:t>(Kusuma &amp; Sukendra, 2016)</w:t>
      </w:r>
      <w:r w:rsidR="00756D2C" w:rsidRPr="00405ECB">
        <w:rPr>
          <w:rFonts w:asciiTheme="majorHAnsi" w:hAnsiTheme="majorHAnsi" w:cstheme="majorHAnsi"/>
        </w:rPr>
        <w:fldChar w:fldCharType="end"/>
      </w:r>
      <w:r w:rsidRPr="00405ECB">
        <w:rPr>
          <w:rFonts w:asciiTheme="majorHAnsi" w:hAnsiTheme="majorHAnsi" w:cstheme="majorHAnsi"/>
          <w:color w:val="0E101A"/>
        </w:rPr>
        <w:t xml:space="preserve">, which states that the prevalence of dengue fever cases is spatially related to population density and (Bakhtiyar et al., 2012) population density factors influence </w:t>
      </w:r>
      <w:r w:rsidRPr="00405ECB">
        <w:rPr>
          <w:rFonts w:asciiTheme="majorHAnsi" w:hAnsiTheme="majorHAnsi" w:cstheme="majorHAnsi"/>
          <w:color w:val="0E101A"/>
        </w:rPr>
        <w:lastRenderedPageBreak/>
        <w:t>the process of transmission or transfer of disease from one person to another. Other. The denser the population eats, the more conducive it is for the virus to reproduce, which can increase in cases.</w:t>
      </w:r>
    </w:p>
    <w:p w14:paraId="14F4B40B" w14:textId="77777777" w:rsidR="00545314" w:rsidRPr="00405ECB" w:rsidRDefault="00545314" w:rsidP="00405ECB">
      <w:pPr>
        <w:pStyle w:val="NormalWeb"/>
        <w:spacing w:before="0" w:beforeAutospacing="0" w:after="0" w:afterAutospacing="0" w:line="276" w:lineRule="auto"/>
        <w:jc w:val="both"/>
        <w:rPr>
          <w:rFonts w:asciiTheme="majorHAnsi" w:hAnsiTheme="majorHAnsi" w:cstheme="majorHAnsi"/>
          <w:color w:val="0E101A"/>
        </w:rPr>
      </w:pPr>
      <w:r w:rsidRPr="00405ECB">
        <w:rPr>
          <w:rStyle w:val="Strong"/>
          <w:rFonts w:asciiTheme="majorHAnsi" w:hAnsiTheme="majorHAnsi" w:cstheme="majorHAnsi"/>
          <w:color w:val="0E101A"/>
        </w:rPr>
        <w:t>The existence of larvae</w:t>
      </w:r>
    </w:p>
    <w:p w14:paraId="0AABD9CC" w14:textId="3A10A7F0" w:rsidR="00545314" w:rsidRPr="00405ECB" w:rsidRDefault="00545314"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Water reservoirs (TPA) are said to be positive as mosquito breeding places</w:t>
      </w:r>
      <w:r w:rsidRPr="00405ECB">
        <w:rPr>
          <w:rStyle w:val="Emphasis"/>
          <w:rFonts w:asciiTheme="majorHAnsi" w:hAnsiTheme="majorHAnsi" w:cstheme="majorHAnsi"/>
          <w:color w:val="0E101A"/>
        </w:rPr>
        <w:t>. aegypt</w:t>
      </w:r>
      <w:r w:rsidRPr="00405ECB">
        <w:rPr>
          <w:rFonts w:asciiTheme="majorHAnsi" w:hAnsiTheme="majorHAnsi" w:cstheme="majorHAnsi"/>
          <w:color w:val="0E101A"/>
        </w:rPr>
        <w:t xml:space="preserve">i is marked by the discovery of larvae Ae </w:t>
      </w:r>
      <w:proofErr w:type="spellStart"/>
      <w:r w:rsidRPr="00405ECB">
        <w:rPr>
          <w:rFonts w:asciiTheme="majorHAnsi" w:hAnsiTheme="majorHAnsi" w:cstheme="majorHAnsi"/>
          <w:color w:val="0E101A"/>
        </w:rPr>
        <w:t>Aegypt</w:t>
      </w:r>
      <w:proofErr w:type="spellEnd"/>
      <w:r w:rsidRPr="00405ECB">
        <w:rPr>
          <w:rStyle w:val="Emphasis"/>
          <w:rFonts w:asciiTheme="majorHAnsi" w:hAnsiTheme="majorHAnsi" w:cstheme="majorHAnsi"/>
          <w:color w:val="0E101A"/>
        </w:rPr>
        <w:t> </w:t>
      </w:r>
      <w:r w:rsidRPr="00405ECB">
        <w:rPr>
          <w:rFonts w:asciiTheme="majorHAnsi" w:hAnsiTheme="majorHAnsi" w:cstheme="majorHAnsi"/>
          <w:color w:val="0E101A"/>
        </w:rPr>
        <w:t xml:space="preserve">in the landfill. The water reservoirs most frequently found positive for larvae in this study were used items outside the house (10.0%), buckets inside the house (8.0%), buckets outside the home (6.0%) and bathtubs inside the house (4.0%). The preferred place for the primary vector of dengue fever is standing water in artificial water storage containers, drums, bathtubs, buckets, not water reservoirs, for example, flower vases, used tires, used bottles, bird drinkers and so on. Containers outside the house are at risk of larvae because it is easy for mosquitoes to breed naturally in containers. This is because, on average, all containers are left open and often hold large amounts of water in the community, so this becomes a </w:t>
      </w:r>
      <w:proofErr w:type="spellStart"/>
      <w:r w:rsidRPr="00405ECB">
        <w:rPr>
          <w:rFonts w:asciiTheme="majorHAnsi" w:hAnsiTheme="majorHAnsi" w:cstheme="majorHAnsi"/>
          <w:color w:val="0E101A"/>
        </w:rPr>
        <w:t>favorite</w:t>
      </w:r>
      <w:proofErr w:type="spellEnd"/>
      <w:r w:rsidRPr="00405ECB">
        <w:rPr>
          <w:rFonts w:asciiTheme="majorHAnsi" w:hAnsiTheme="majorHAnsi" w:cstheme="majorHAnsi"/>
          <w:color w:val="0E101A"/>
        </w:rPr>
        <w:t xml:space="preserve"> place for mosquitoes.</w:t>
      </w:r>
      <w:r w:rsidRPr="00405ECB">
        <w:rPr>
          <w:rStyle w:val="Emphasis"/>
          <w:rFonts w:asciiTheme="majorHAnsi" w:hAnsiTheme="majorHAnsi" w:cstheme="majorHAnsi"/>
          <w:color w:val="0E101A"/>
        </w:rPr>
        <w:t xml:space="preserve"> Aedes </w:t>
      </w:r>
      <w:proofErr w:type="spellStart"/>
      <w:r w:rsidRPr="00405ECB">
        <w:rPr>
          <w:rStyle w:val="Emphasis"/>
          <w:rFonts w:asciiTheme="majorHAnsi" w:hAnsiTheme="majorHAnsi" w:cstheme="majorHAnsi"/>
          <w:color w:val="0E101A"/>
        </w:rPr>
        <w:t>sp</w:t>
      </w:r>
      <w:proofErr w:type="spellEnd"/>
      <w:r w:rsidRPr="00405ECB">
        <w:rPr>
          <w:rFonts w:asciiTheme="majorHAnsi" w:hAnsiTheme="majorHAnsi" w:cstheme="majorHAnsi"/>
          <w:color w:val="0E101A"/>
        </w:rPr>
        <w:t xml:space="preserve"> to reproduce. Apart from that, people are known to rarely and forget to drain the water in the bathtub or water storage bucket, resulting in mosquito </w:t>
      </w:r>
      <w:proofErr w:type="spellStart"/>
      <w:r w:rsidRPr="00405ECB">
        <w:rPr>
          <w:rFonts w:asciiTheme="majorHAnsi" w:hAnsiTheme="majorHAnsi" w:cstheme="majorHAnsi"/>
          <w:color w:val="0E101A"/>
        </w:rPr>
        <w:t>eggs</w:t>
      </w:r>
      <w:r w:rsidRPr="00405ECB">
        <w:rPr>
          <w:rStyle w:val="Emphasis"/>
          <w:rFonts w:asciiTheme="majorHAnsi" w:hAnsiTheme="majorHAnsi" w:cstheme="majorHAnsi"/>
          <w:color w:val="0E101A"/>
        </w:rPr>
        <w:t>Aedes</w:t>
      </w:r>
      <w:proofErr w:type="spellEnd"/>
      <w:r w:rsidRPr="00405ECB">
        <w:rPr>
          <w:rStyle w:val="Emphasis"/>
          <w:rFonts w:asciiTheme="majorHAnsi" w:hAnsiTheme="majorHAnsi" w:cstheme="majorHAnsi"/>
          <w:color w:val="0E101A"/>
        </w:rPr>
        <w:t xml:space="preserve"> </w:t>
      </w:r>
      <w:proofErr w:type="spellStart"/>
      <w:r w:rsidRPr="00405ECB">
        <w:rPr>
          <w:rStyle w:val="Emphasis"/>
          <w:rFonts w:asciiTheme="majorHAnsi" w:hAnsiTheme="majorHAnsi" w:cstheme="majorHAnsi"/>
          <w:color w:val="0E101A"/>
        </w:rPr>
        <w:t>sp</w:t>
      </w:r>
      <w:proofErr w:type="spellEnd"/>
      <w:r w:rsidRPr="00405ECB">
        <w:rPr>
          <w:rFonts w:asciiTheme="majorHAnsi" w:hAnsiTheme="majorHAnsi" w:cstheme="majorHAnsi"/>
          <w:color w:val="0E101A"/>
        </w:rPr>
        <w:t xml:space="preserve"> that stick to the container walls can breed into larvae and adult mosquitoes </w:t>
      </w:r>
      <w:r w:rsidR="005340F7" w:rsidRPr="00405ECB">
        <w:rPr>
          <w:rFonts w:asciiTheme="majorHAnsi" w:hAnsiTheme="majorHAnsi" w:cstheme="majorHAnsi"/>
          <w:color w:val="000000"/>
        </w:rPr>
        <w:fldChar w:fldCharType="begin" w:fldLock="1"/>
      </w:r>
      <w:r w:rsidR="005340F7" w:rsidRPr="00405ECB">
        <w:rPr>
          <w:rFonts w:asciiTheme="majorHAnsi" w:hAnsiTheme="majorHAnsi" w:cstheme="majorHAnsi"/>
          <w:color w:val="000000"/>
        </w:rPr>
        <w:instrText>ADDIN CSL_CITATION {"citationItems":[{"id":"ITEM-1","itemData":{"author":[{"dropping-particle":"","family":"Aulia","given":"Annisa","non-dropping-particle":"","parse-names":false,"suffix":""},{"dropping-particle":"","family":"Hulla","given":"Cahyani","non-dropping-particle":"","parse-names":false,"suffix":""},{"dropping-particle":"","family":"Khairu","given":"Afdhal","non-dropping-particle":"","parse-names":false,"suffix":""},{"dropping-particle":"","family":"Anggol","given":"Ummah","non-dropping-particle":"","parse-names":false,"suffix":""},{"dropping-particle":"","family":"Akbar","given":"Hairil","non-dropping-particle":"","parse-names":false,"suffix":""}],"id":"ITEM-1","issue":"2","issued":{"date-parts":[["2018"]]},"page":"127-133","title":"Identifikasi Kepadatan Larva Nyamuk Aedes Sp Sebagai Vektor Penyakit Demam Berdarah Dengue di Kelurahan Mogolaing Kotamobagu Identification of Aedes Sp Mosquito Larvae Density as a Vector of Dengue Hemorrhagic Fever in Mogolaing Village, Kotamobagu","type":"article-journal","volume":"6"},"uris":["http://www.mendeley.com/documents/?uuid=717e9c8b-0642-4c47-bc5c-eb03ffab2854","http://www.mendeley.com/documents/?uuid=ce5e558e-3158-4fed-87ff-b8806113f833"]}],"mendeley":{"formattedCitation":"(Aulia et al., 2018)","plainTextFormattedCitation":"(Aulia et al., 2018)","previouslyFormattedCitation":"(Aulia et al., 2018)"},"properties":{"noteIndex":0},"schema":"https://github.com/citation-style-language/schema/raw/master/csl-citation.json"}</w:instrText>
      </w:r>
      <w:r w:rsidR="005340F7" w:rsidRPr="00405ECB">
        <w:rPr>
          <w:rFonts w:asciiTheme="majorHAnsi" w:hAnsiTheme="majorHAnsi" w:cstheme="majorHAnsi"/>
          <w:color w:val="000000"/>
        </w:rPr>
        <w:fldChar w:fldCharType="separate"/>
      </w:r>
      <w:r w:rsidR="005340F7" w:rsidRPr="00405ECB">
        <w:rPr>
          <w:rFonts w:asciiTheme="majorHAnsi" w:hAnsiTheme="majorHAnsi" w:cstheme="majorHAnsi"/>
          <w:noProof/>
          <w:color w:val="000000"/>
        </w:rPr>
        <w:t>(Aulia et al., 2018)</w:t>
      </w:r>
      <w:r w:rsidR="005340F7" w:rsidRPr="00405ECB">
        <w:rPr>
          <w:rFonts w:asciiTheme="majorHAnsi" w:hAnsiTheme="majorHAnsi" w:cstheme="majorHAnsi"/>
          <w:color w:val="000000"/>
        </w:rPr>
        <w:fldChar w:fldCharType="end"/>
      </w:r>
      <w:r w:rsidRPr="00405ECB">
        <w:rPr>
          <w:rFonts w:asciiTheme="majorHAnsi" w:hAnsiTheme="majorHAnsi" w:cstheme="majorHAnsi"/>
          <w:color w:val="0E101A"/>
        </w:rPr>
        <w:t>.</w:t>
      </w:r>
    </w:p>
    <w:p w14:paraId="7DCF2BBE" w14:textId="77777777" w:rsidR="00545314" w:rsidRPr="00405ECB" w:rsidRDefault="00545314"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Style w:val="Emphasis"/>
          <w:rFonts w:asciiTheme="majorHAnsi" w:hAnsiTheme="majorHAnsi" w:cstheme="majorHAnsi"/>
          <w:color w:val="0E101A"/>
        </w:rPr>
        <w:t>House Index</w:t>
      </w:r>
      <w:r w:rsidRPr="00405ECB">
        <w:rPr>
          <w:rFonts w:asciiTheme="majorHAnsi" w:hAnsiTheme="majorHAnsi" w:cstheme="majorHAnsi"/>
          <w:color w:val="0E101A"/>
        </w:rPr>
        <w:t xml:space="preserve"> (HI) calculates the risk of disease spread and describes the extent of mosquito distribution in an area. This index indicates the percentage of homes that are </w:t>
      </w:r>
      <w:r w:rsidRPr="00405ECB">
        <w:rPr>
          <w:rFonts w:asciiTheme="majorHAnsi" w:hAnsiTheme="majorHAnsi" w:cstheme="majorHAnsi"/>
          <w:color w:val="0E101A"/>
        </w:rPr>
        <w:t>positive for breeding, indicating the human population at risk of dengue fever. So, the house</w:t>
      </w:r>
      <w:r w:rsidRPr="00405ECB">
        <w:rPr>
          <w:rStyle w:val="Emphasis"/>
          <w:rFonts w:asciiTheme="majorHAnsi" w:hAnsiTheme="majorHAnsi" w:cstheme="majorHAnsi"/>
          <w:color w:val="0E101A"/>
        </w:rPr>
        <w:t> index</w:t>
      </w:r>
      <w:r w:rsidRPr="00405ECB">
        <w:rPr>
          <w:rFonts w:asciiTheme="majorHAnsi" w:hAnsiTheme="majorHAnsi" w:cstheme="majorHAnsi"/>
          <w:color w:val="0E101A"/>
        </w:rPr>
        <w:t xml:space="preserve"> obtained: 37 shows </w:t>
      </w:r>
      <w:proofErr w:type="spellStart"/>
      <w:r w:rsidRPr="00405ECB">
        <w:rPr>
          <w:rFonts w:asciiTheme="majorHAnsi" w:hAnsiTheme="majorHAnsi" w:cstheme="majorHAnsi"/>
          <w:color w:val="0E101A"/>
        </w:rPr>
        <w:t>in</w:t>
      </w:r>
      <w:r w:rsidRPr="00405ECB">
        <w:rPr>
          <w:rStyle w:val="Emphasis"/>
          <w:rFonts w:asciiTheme="majorHAnsi" w:hAnsiTheme="majorHAnsi" w:cstheme="majorHAnsi"/>
          <w:color w:val="0E101A"/>
        </w:rPr>
        <w:t>density</w:t>
      </w:r>
      <w:proofErr w:type="spellEnd"/>
      <w:r w:rsidRPr="00405ECB">
        <w:rPr>
          <w:rStyle w:val="Emphasis"/>
          <w:rFonts w:asciiTheme="majorHAnsi" w:hAnsiTheme="majorHAnsi" w:cstheme="majorHAnsi"/>
          <w:color w:val="0E101A"/>
        </w:rPr>
        <w:t xml:space="preserve"> figures</w:t>
      </w:r>
      <w:r w:rsidRPr="00405ECB">
        <w:rPr>
          <w:rFonts w:asciiTheme="majorHAnsi" w:hAnsiTheme="majorHAnsi" w:cstheme="majorHAnsi"/>
          <w:color w:val="0E101A"/>
        </w:rPr>
        <w:t> at medium larva density (5). The results of research in Deli Serdang Regency show that the larval population density is the degree of transmission of dengue fever dengue (DHF), which is carried by mosquito vectors Aedes</w:t>
      </w:r>
      <w:r w:rsidRPr="00405ECB">
        <w:rPr>
          <w:rStyle w:val="Emphasis"/>
          <w:rFonts w:asciiTheme="majorHAnsi" w:hAnsiTheme="majorHAnsi" w:cstheme="majorHAnsi"/>
          <w:color w:val="0E101A"/>
        </w:rPr>
        <w:t> </w:t>
      </w:r>
      <w:proofErr w:type="spellStart"/>
      <w:r w:rsidRPr="00405ECB">
        <w:rPr>
          <w:rStyle w:val="Emphasis"/>
          <w:rFonts w:asciiTheme="majorHAnsi" w:hAnsiTheme="majorHAnsi" w:cstheme="majorHAnsi"/>
          <w:color w:val="0E101A"/>
        </w:rPr>
        <w:t>sp</w:t>
      </w:r>
      <w:proofErr w:type="spellEnd"/>
      <w:r w:rsidRPr="00405ECB">
        <w:rPr>
          <w:rFonts w:asciiTheme="majorHAnsi" w:hAnsiTheme="majorHAnsi" w:cstheme="majorHAnsi"/>
          <w:color w:val="0E101A"/>
        </w:rPr>
        <w:t xml:space="preserve"> is moderate, so you need to pay attention and be aware of the potential for high cases of dengue </w:t>
      </w:r>
      <w:proofErr w:type="spellStart"/>
      <w:r w:rsidRPr="00405ECB">
        <w:rPr>
          <w:rFonts w:asciiTheme="majorHAnsi" w:hAnsiTheme="majorHAnsi" w:cstheme="majorHAnsi"/>
          <w:color w:val="0E101A"/>
        </w:rPr>
        <w:t>hemorrhagic</w:t>
      </w:r>
      <w:proofErr w:type="spellEnd"/>
      <w:r w:rsidRPr="00405ECB">
        <w:rPr>
          <w:rFonts w:asciiTheme="majorHAnsi" w:hAnsiTheme="majorHAnsi" w:cstheme="majorHAnsi"/>
          <w:color w:val="0E101A"/>
        </w:rPr>
        <w:t xml:space="preserve"> fever (DHF).</w:t>
      </w:r>
      <w:r w:rsidRPr="00405ECB">
        <w:rPr>
          <w:rStyle w:val="Emphasis"/>
          <w:rFonts w:asciiTheme="majorHAnsi" w:hAnsiTheme="majorHAnsi" w:cstheme="majorHAnsi"/>
          <w:color w:val="0E101A"/>
        </w:rPr>
        <w:t> House Index</w:t>
      </w:r>
      <w:r w:rsidRPr="00405ECB">
        <w:rPr>
          <w:rFonts w:asciiTheme="majorHAnsi" w:hAnsiTheme="majorHAnsi" w:cstheme="majorHAnsi"/>
          <w:color w:val="0E101A"/>
        </w:rPr>
        <w:t xml:space="preserve"> (HI) better describes the extent of mosquito distribution in an area. The distance between houses influences the spread of mosquitoes from one place to another. The closer a home is, the easier it is for mosquitoes to spread because Aedes </w:t>
      </w:r>
      <w:proofErr w:type="spellStart"/>
      <w:r w:rsidRPr="00405ECB">
        <w:rPr>
          <w:rFonts w:asciiTheme="majorHAnsi" w:hAnsiTheme="majorHAnsi" w:cstheme="majorHAnsi"/>
          <w:color w:val="0E101A"/>
        </w:rPr>
        <w:t>sp</w:t>
      </w:r>
      <w:proofErr w:type="spellEnd"/>
      <w:r w:rsidRPr="00405ECB">
        <w:rPr>
          <w:rFonts w:asciiTheme="majorHAnsi" w:hAnsiTheme="majorHAnsi" w:cstheme="majorHAnsi"/>
          <w:color w:val="0E101A"/>
        </w:rPr>
        <w:t xml:space="preserve"> mosquitoes can fly 40-50 meters (</w:t>
      </w:r>
      <w:proofErr w:type="spellStart"/>
      <w:r w:rsidRPr="00405ECB">
        <w:rPr>
          <w:rFonts w:asciiTheme="majorHAnsi" w:hAnsiTheme="majorHAnsi" w:cstheme="majorHAnsi"/>
          <w:color w:val="0E101A"/>
        </w:rPr>
        <w:t>Aulia</w:t>
      </w:r>
      <w:proofErr w:type="spellEnd"/>
      <w:r w:rsidRPr="00405ECB">
        <w:rPr>
          <w:rFonts w:asciiTheme="majorHAnsi" w:hAnsiTheme="majorHAnsi" w:cstheme="majorHAnsi"/>
          <w:color w:val="0E101A"/>
        </w:rPr>
        <w:t xml:space="preserve"> et al., 2018).</w:t>
      </w:r>
    </w:p>
    <w:p w14:paraId="0FCE008D" w14:textId="5B5FC354" w:rsidR="00545314" w:rsidRPr="00405ECB" w:rsidRDefault="00545314"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Style w:val="Emphasis"/>
          <w:rFonts w:asciiTheme="majorHAnsi" w:hAnsiTheme="majorHAnsi" w:cstheme="majorHAnsi"/>
          <w:color w:val="0E101A"/>
        </w:rPr>
        <w:t>Container Index</w:t>
      </w:r>
      <w:r w:rsidRPr="00405ECB">
        <w:rPr>
          <w:rFonts w:asciiTheme="majorHAnsi" w:hAnsiTheme="majorHAnsi" w:cstheme="majorHAnsi"/>
          <w:color w:val="0E101A"/>
        </w:rPr>
        <w:t xml:space="preserve"> (CI) describes the percentage of positive containers for Ae larvae. Aegypti. Certain areas may have few larvae-positive containers but still be epidemiologically vital because they produce large numbers of larvae. On the other hand, certain areas may have many positive containers. Still, these containers only make a small number of larvae, so epidemiologically, there is less risk of an extraordinary event (KLB). Shows that 3,200 containers were inspected from 200 houses. There are 77 containers containing larvae. </w:t>
      </w:r>
      <w:proofErr w:type="gramStart"/>
      <w:r w:rsidRPr="00405ECB">
        <w:rPr>
          <w:rFonts w:asciiTheme="majorHAnsi" w:hAnsiTheme="majorHAnsi" w:cstheme="majorHAnsi"/>
          <w:color w:val="0E101A"/>
        </w:rPr>
        <w:t>So</w:t>
      </w:r>
      <w:proofErr w:type="gramEnd"/>
      <w:r w:rsidR="00AC46ED">
        <w:rPr>
          <w:rFonts w:asciiTheme="majorHAnsi" w:hAnsiTheme="majorHAnsi" w:cstheme="majorHAnsi"/>
          <w:color w:val="0E101A"/>
        </w:rPr>
        <w:t xml:space="preserve"> </w:t>
      </w:r>
      <w:r w:rsidRPr="00405ECB">
        <w:rPr>
          <w:rStyle w:val="Emphasis"/>
          <w:rFonts w:asciiTheme="majorHAnsi" w:hAnsiTheme="majorHAnsi" w:cstheme="majorHAnsi"/>
          <w:color w:val="0E101A"/>
        </w:rPr>
        <w:t>Container index</w:t>
      </w:r>
      <w:r w:rsidRPr="00405ECB">
        <w:rPr>
          <w:rFonts w:asciiTheme="majorHAnsi" w:hAnsiTheme="majorHAnsi" w:cstheme="majorHAnsi"/>
          <w:color w:val="0E101A"/>
        </w:rPr>
        <w:t xml:space="preserve"> obtained: 2.4 This shows </w:t>
      </w:r>
      <w:proofErr w:type="spellStart"/>
      <w:r w:rsidRPr="00405ECB">
        <w:rPr>
          <w:rFonts w:asciiTheme="majorHAnsi" w:hAnsiTheme="majorHAnsi" w:cstheme="majorHAnsi"/>
          <w:color w:val="0E101A"/>
        </w:rPr>
        <w:t>in</w:t>
      </w:r>
      <w:r w:rsidRPr="00405ECB">
        <w:rPr>
          <w:rStyle w:val="Emphasis"/>
          <w:rFonts w:asciiTheme="majorHAnsi" w:hAnsiTheme="majorHAnsi" w:cstheme="majorHAnsi"/>
          <w:color w:val="0E101A"/>
        </w:rPr>
        <w:t>density</w:t>
      </w:r>
      <w:proofErr w:type="spellEnd"/>
      <w:r w:rsidRPr="00405ECB">
        <w:rPr>
          <w:rStyle w:val="Emphasis"/>
          <w:rFonts w:asciiTheme="majorHAnsi" w:hAnsiTheme="majorHAnsi" w:cstheme="majorHAnsi"/>
          <w:color w:val="0E101A"/>
        </w:rPr>
        <w:t xml:space="preserve"> figures</w:t>
      </w:r>
      <w:r w:rsidRPr="00405ECB">
        <w:rPr>
          <w:rFonts w:asciiTheme="majorHAnsi" w:hAnsiTheme="majorHAnsi" w:cstheme="majorHAnsi"/>
          <w:color w:val="0E101A"/>
        </w:rPr>
        <w:t xml:space="preserve"> at low density. The birth of Aedes </w:t>
      </w:r>
      <w:proofErr w:type="spellStart"/>
      <w:r w:rsidRPr="00405ECB">
        <w:rPr>
          <w:rFonts w:asciiTheme="majorHAnsi" w:hAnsiTheme="majorHAnsi" w:cstheme="majorHAnsi"/>
          <w:color w:val="0E101A"/>
        </w:rPr>
        <w:t>sp</w:t>
      </w:r>
      <w:proofErr w:type="spellEnd"/>
      <w:r w:rsidRPr="00405ECB">
        <w:rPr>
          <w:rFonts w:asciiTheme="majorHAnsi" w:hAnsiTheme="majorHAnsi" w:cstheme="majorHAnsi"/>
          <w:color w:val="0E101A"/>
        </w:rPr>
        <w:t xml:space="preserve"> mosquito larvae in containers in the house, such as bathtubs, toilets, drums, and water storage buckets, because people </w:t>
      </w:r>
      <w:r w:rsidRPr="00405ECB">
        <w:rPr>
          <w:rFonts w:asciiTheme="majorHAnsi" w:hAnsiTheme="majorHAnsi" w:cstheme="majorHAnsi"/>
          <w:color w:val="0E101A"/>
        </w:rPr>
        <w:lastRenderedPageBreak/>
        <w:t xml:space="preserve">drain the water more than once a week and the method of draining the water is not appropriate, such as not brushing the walls of the container until clean so that the eggs that stick to it can continue. Metamorphosis cycle into larvae. Water reservoirs have the potential to become breeding grounds for Aedes </w:t>
      </w:r>
      <w:proofErr w:type="spellStart"/>
      <w:r w:rsidRPr="00405ECB">
        <w:rPr>
          <w:rFonts w:asciiTheme="majorHAnsi" w:hAnsiTheme="majorHAnsi" w:cstheme="majorHAnsi"/>
          <w:color w:val="0E101A"/>
        </w:rPr>
        <w:t>sp</w:t>
      </w:r>
      <w:proofErr w:type="spellEnd"/>
      <w:r w:rsidRPr="00405ECB">
        <w:rPr>
          <w:rFonts w:asciiTheme="majorHAnsi" w:hAnsiTheme="majorHAnsi" w:cstheme="majorHAnsi"/>
          <w:color w:val="0E101A"/>
        </w:rPr>
        <w:t xml:space="preserve"> mosquitoes. This is because the water reservoir is not closed, moist, and protected from direct sunlight. The Aedes </w:t>
      </w:r>
      <w:proofErr w:type="spellStart"/>
      <w:r w:rsidRPr="00405ECB">
        <w:rPr>
          <w:rFonts w:asciiTheme="majorHAnsi" w:hAnsiTheme="majorHAnsi" w:cstheme="majorHAnsi"/>
          <w:color w:val="0E101A"/>
        </w:rPr>
        <w:t>sp</w:t>
      </w:r>
      <w:proofErr w:type="spellEnd"/>
      <w:r w:rsidRPr="00405ECB">
        <w:rPr>
          <w:rFonts w:asciiTheme="majorHAnsi" w:hAnsiTheme="majorHAnsi" w:cstheme="majorHAnsi"/>
          <w:color w:val="0E101A"/>
        </w:rPr>
        <w:t xml:space="preserve"> mosquito lays its eggs in clear water so that the mosquito can carry out its life cycle in that place, namely from egg to larva to pupa and then becomes an adult mosquito.</w:t>
      </w:r>
    </w:p>
    <w:p w14:paraId="6CF7E3AE" w14:textId="74D2F9F8" w:rsidR="00545314" w:rsidRPr="00405ECB" w:rsidRDefault="00545314" w:rsidP="00405ECB">
      <w:pPr>
        <w:pStyle w:val="NormalWeb"/>
        <w:spacing w:before="0" w:beforeAutospacing="0" w:after="0" w:afterAutospacing="0" w:line="276" w:lineRule="auto"/>
        <w:ind w:firstLine="720"/>
        <w:jc w:val="both"/>
        <w:rPr>
          <w:rFonts w:asciiTheme="majorHAnsi" w:hAnsiTheme="majorHAnsi" w:cstheme="majorHAnsi"/>
          <w:color w:val="0E101A"/>
        </w:rPr>
      </w:pPr>
      <w:r w:rsidRPr="00405ECB">
        <w:rPr>
          <w:rFonts w:asciiTheme="majorHAnsi" w:hAnsiTheme="majorHAnsi" w:cstheme="majorHAnsi"/>
          <w:color w:val="0E101A"/>
        </w:rPr>
        <w:t>The larvae-free number (ABJ) is the presence of larvae </w:t>
      </w:r>
      <w:r w:rsidRPr="00405ECB">
        <w:rPr>
          <w:rStyle w:val="Emphasis"/>
          <w:rFonts w:asciiTheme="majorHAnsi" w:hAnsiTheme="majorHAnsi" w:cstheme="majorHAnsi"/>
          <w:color w:val="0E101A"/>
        </w:rPr>
        <w:t>aegypti</w:t>
      </w:r>
      <w:r w:rsidRPr="00405ECB">
        <w:rPr>
          <w:rFonts w:asciiTheme="majorHAnsi" w:hAnsiTheme="majorHAnsi" w:cstheme="majorHAnsi"/>
          <w:color w:val="0E101A"/>
        </w:rPr>
        <w:t> in water reservoirs, which can become a breeding ground for mosquitoes inside and outside the house. The larvae-free rate (ABJ) from research results in Deli Serdang Regency was 63%. Larval-free rate (ABJ) = 63% indicates a lousy category if the larvae-free rate (ABJ) is ≤ 95%. This means there is still a lack of implementation of eradicating mosquito nests in the Deli Serdang Regency because the success of PSN activities can be measured by the Larva Free Rate (ABJ). If ABJ ≤ 95%, it is expected to prevent or reduce cases of dengue fever transmission. Several things that influence the density of mosquito larvae Aedes</w:t>
      </w:r>
      <w:r w:rsidRPr="00405ECB">
        <w:rPr>
          <w:rStyle w:val="Emphasis"/>
          <w:rFonts w:asciiTheme="majorHAnsi" w:hAnsiTheme="majorHAnsi" w:cstheme="majorHAnsi"/>
          <w:color w:val="0E101A"/>
        </w:rPr>
        <w:t> </w:t>
      </w:r>
      <w:proofErr w:type="spellStart"/>
      <w:r w:rsidRPr="00405ECB">
        <w:rPr>
          <w:rStyle w:val="Emphasis"/>
          <w:rFonts w:asciiTheme="majorHAnsi" w:hAnsiTheme="majorHAnsi" w:cstheme="majorHAnsi"/>
          <w:color w:val="0E101A"/>
        </w:rPr>
        <w:t>sp</w:t>
      </w:r>
      <w:proofErr w:type="spellEnd"/>
      <w:r w:rsidRPr="00405ECB">
        <w:rPr>
          <w:rFonts w:asciiTheme="majorHAnsi" w:hAnsiTheme="majorHAnsi" w:cstheme="majorHAnsi"/>
          <w:color w:val="0E101A"/>
        </w:rPr>
        <w:t xml:space="preserve"> are the existence of </w:t>
      </w:r>
      <w:r w:rsidRPr="00405ECB">
        <w:rPr>
          <w:rFonts w:asciiTheme="majorHAnsi" w:hAnsiTheme="majorHAnsi" w:cstheme="majorHAnsi"/>
          <w:color w:val="0E101A"/>
        </w:rPr>
        <w:t xml:space="preserve">containers that become breeding grounds for Aedes </w:t>
      </w:r>
      <w:proofErr w:type="spellStart"/>
      <w:r w:rsidRPr="00405ECB">
        <w:rPr>
          <w:rFonts w:asciiTheme="majorHAnsi" w:hAnsiTheme="majorHAnsi" w:cstheme="majorHAnsi"/>
          <w:color w:val="0E101A"/>
        </w:rPr>
        <w:t>sp</w:t>
      </w:r>
      <w:proofErr w:type="spellEnd"/>
      <w:r w:rsidRPr="00405ECB">
        <w:rPr>
          <w:rFonts w:asciiTheme="majorHAnsi" w:hAnsiTheme="majorHAnsi" w:cstheme="majorHAnsi"/>
          <w:color w:val="0E101A"/>
        </w:rPr>
        <w:t xml:space="preserve"> mosquitoes in the environment inside the house or outside the house and the </w:t>
      </w:r>
      <w:proofErr w:type="spellStart"/>
      <w:r w:rsidRPr="00405ECB">
        <w:rPr>
          <w:rFonts w:asciiTheme="majorHAnsi" w:hAnsiTheme="majorHAnsi" w:cstheme="majorHAnsi"/>
          <w:color w:val="0E101A"/>
        </w:rPr>
        <w:t>behavior</w:t>
      </w:r>
      <w:proofErr w:type="spellEnd"/>
      <w:r w:rsidRPr="00405ECB">
        <w:rPr>
          <w:rFonts w:asciiTheme="majorHAnsi" w:hAnsiTheme="majorHAnsi" w:cstheme="majorHAnsi"/>
          <w:color w:val="0E101A"/>
        </w:rPr>
        <w:t xml:space="preserve"> of people in cleaning water reservoirs more than once a week. Vector control can be done by cleaning mosquito nests (PSN) by reducing breeding sites, carrying out 3M Plus activities, draining water reservoirs regularly once a week, closing water reservoirs, and getting rid of used items that can hold water administering larvicides, fogging with malathion in outbreak or endemic areas, and public health education to protect the environment </w:t>
      </w:r>
      <w:r w:rsidR="00AE1079" w:rsidRPr="00405ECB">
        <w:rPr>
          <w:rFonts w:asciiTheme="majorHAnsi" w:hAnsiTheme="majorHAnsi" w:cstheme="majorHAnsi"/>
          <w:color w:val="000000"/>
        </w:rPr>
        <w:fldChar w:fldCharType="begin" w:fldLock="1"/>
      </w:r>
      <w:r w:rsidR="00AE1079" w:rsidRPr="00405ECB">
        <w:rPr>
          <w:rFonts w:asciiTheme="majorHAnsi" w:hAnsiTheme="majorHAnsi" w:cstheme="majorHAnsi"/>
          <w:color w:val="000000"/>
        </w:rPr>
        <w:instrText>ADDIN CSL_CITATION {"citationItems":[{"id":"ITEM-1","itemData":{"author":[{"dropping-particle":"","family":"Aulia","given":"Annisa","non-dropping-particle":"","parse-names":false,"suffix":""},{"dropping-particle":"","family":"Hulla","given":"Cahyani","non-dropping-particle":"","parse-names":false,"suffix":""},{"dropping-particle":"","family":"Khairu","given":"Afdhal","non-dropping-particle":"","parse-names":false,"suffix":""},{"dropping-particle":"","family":"Anggol","given":"Ummah","non-dropping-particle":"","parse-names":false,"suffix":""},{"dropping-particle":"","family":"Akbar","given":"Hairil","non-dropping-particle":"","parse-names":false,"suffix":""}],"id":"ITEM-1","issue":"2","issued":{"date-parts":[["2018"]]},"page":"127-133","title":"Identifikasi Kepadatan Larva Nyamuk Aedes Sp Sebagai Vektor Penyakit Demam Berdarah Dengue di Kelurahan Mogolaing Kotamobagu Identification of Aedes Sp Mosquito Larvae Density as a Vector of Dengue Hemorrhagic Fever in Mogolaing Village, Kotamobagu","type":"article-journal","volume":"6"},"uris":["http://www.mendeley.com/documents/?uuid=ce5e558e-3158-4fed-87ff-b8806113f833","http://www.mendeley.com/documents/?uuid=717e9c8b-0642-4c47-bc5c-eb03ffab2854"]}],"mendeley":{"formattedCitation":"(Aulia et al., 2018)","plainTextFormattedCitation":"(Aulia et al., 2018)","previouslyFormattedCitation":"(Aulia et al., 2018)"},"properties":{"noteIndex":0},"schema":"https://github.com/citation-style-language/schema/raw/master/csl-citation.json"}</w:instrText>
      </w:r>
      <w:r w:rsidR="00AE1079" w:rsidRPr="00405ECB">
        <w:rPr>
          <w:rFonts w:asciiTheme="majorHAnsi" w:hAnsiTheme="majorHAnsi" w:cstheme="majorHAnsi"/>
          <w:color w:val="000000"/>
        </w:rPr>
        <w:fldChar w:fldCharType="separate"/>
      </w:r>
      <w:r w:rsidR="00AE1079" w:rsidRPr="00405ECB">
        <w:rPr>
          <w:rFonts w:asciiTheme="majorHAnsi" w:hAnsiTheme="majorHAnsi" w:cstheme="majorHAnsi"/>
          <w:noProof/>
          <w:color w:val="000000"/>
        </w:rPr>
        <w:t>(Aulia et al., 2018)</w:t>
      </w:r>
      <w:r w:rsidR="00AE1079" w:rsidRPr="00405ECB">
        <w:rPr>
          <w:rFonts w:asciiTheme="majorHAnsi" w:hAnsiTheme="majorHAnsi" w:cstheme="majorHAnsi"/>
          <w:color w:val="000000"/>
        </w:rPr>
        <w:fldChar w:fldCharType="end"/>
      </w:r>
      <w:r w:rsidRPr="00405ECB">
        <w:rPr>
          <w:rFonts w:asciiTheme="majorHAnsi" w:hAnsiTheme="majorHAnsi" w:cstheme="majorHAnsi"/>
          <w:color w:val="0E101A"/>
        </w:rPr>
        <w:t>.</w:t>
      </w:r>
    </w:p>
    <w:p w14:paraId="6C12103A" w14:textId="77777777" w:rsidR="00C62832" w:rsidRPr="00405ECB" w:rsidRDefault="00C62832" w:rsidP="00405ECB">
      <w:pPr>
        <w:widowControl w:val="0"/>
        <w:pBdr>
          <w:top w:val="nil"/>
          <w:left w:val="nil"/>
          <w:bottom w:val="nil"/>
          <w:right w:val="nil"/>
          <w:between w:val="nil"/>
        </w:pBdr>
        <w:spacing w:after="0" w:line="276" w:lineRule="auto"/>
        <w:ind w:firstLine="720"/>
        <w:jc w:val="both"/>
        <w:rPr>
          <w:rFonts w:asciiTheme="majorHAnsi" w:hAnsiTheme="majorHAnsi" w:cstheme="majorHAnsi"/>
          <w:color w:val="000000"/>
          <w:sz w:val="24"/>
          <w:szCs w:val="24"/>
        </w:rPr>
      </w:pPr>
    </w:p>
    <w:p w14:paraId="6EB54B05" w14:textId="387836B5" w:rsidR="00776027" w:rsidRPr="00405ECB" w:rsidRDefault="00C62832" w:rsidP="00405ECB">
      <w:pPr>
        <w:pBdr>
          <w:bottom w:val="double" w:sz="4" w:space="1" w:color="auto"/>
        </w:pBdr>
        <w:spacing w:after="0" w:line="276" w:lineRule="auto"/>
        <w:jc w:val="both"/>
        <w:rPr>
          <w:rFonts w:asciiTheme="majorHAnsi" w:hAnsiTheme="majorHAnsi" w:cstheme="majorHAnsi"/>
          <w:color w:val="000000"/>
          <w:sz w:val="24"/>
          <w:szCs w:val="24"/>
        </w:rPr>
      </w:pPr>
      <w:r w:rsidRPr="00405ECB">
        <w:rPr>
          <w:rFonts w:asciiTheme="majorHAnsi" w:hAnsiTheme="majorHAnsi" w:cstheme="majorHAnsi"/>
          <w:b/>
          <w:sz w:val="24"/>
          <w:szCs w:val="24"/>
        </w:rPr>
        <w:t>CONCLUSION</w:t>
      </w:r>
      <w:bookmarkStart w:id="0" w:name="gjdgxs" w:colFirst="0" w:colLast="0"/>
      <w:bookmarkEnd w:id="0"/>
    </w:p>
    <w:p w14:paraId="64D10C4E" w14:textId="7EB01BA1" w:rsidR="00FB36C5" w:rsidRPr="00405ECB" w:rsidRDefault="00776027" w:rsidP="00405ECB">
      <w:pPr>
        <w:widowControl w:val="0"/>
        <w:pBdr>
          <w:top w:val="nil"/>
          <w:left w:val="nil"/>
          <w:bottom w:val="nil"/>
          <w:right w:val="nil"/>
          <w:between w:val="nil"/>
        </w:pBdr>
        <w:tabs>
          <w:tab w:val="left" w:pos="851"/>
        </w:tabs>
        <w:spacing w:after="0" w:line="276" w:lineRule="auto"/>
        <w:jc w:val="both"/>
        <w:rPr>
          <w:rFonts w:asciiTheme="majorHAnsi" w:hAnsiTheme="majorHAnsi" w:cstheme="majorHAnsi"/>
          <w:color w:val="000000"/>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r w:rsidRPr="00405ECB">
        <w:rPr>
          <w:rFonts w:asciiTheme="majorHAnsi" w:hAnsiTheme="majorHAnsi" w:cstheme="majorHAnsi"/>
          <w:color w:val="000000"/>
          <w:sz w:val="24"/>
          <w:szCs w:val="24"/>
        </w:rPr>
        <w:tab/>
        <w:t xml:space="preserve">This research concludes: Based on the distribution results using </w:t>
      </w:r>
      <w:proofErr w:type="spellStart"/>
      <w:r w:rsidRPr="00405ECB">
        <w:rPr>
          <w:rFonts w:asciiTheme="majorHAnsi" w:hAnsiTheme="majorHAnsi" w:cstheme="majorHAnsi"/>
          <w:color w:val="000000"/>
          <w:sz w:val="24"/>
          <w:szCs w:val="24"/>
        </w:rPr>
        <w:t>Stascan</w:t>
      </w:r>
      <w:proofErr w:type="spellEnd"/>
      <w:r w:rsidRPr="00405ECB">
        <w:rPr>
          <w:rFonts w:asciiTheme="majorHAnsi" w:hAnsiTheme="majorHAnsi" w:cstheme="majorHAnsi"/>
          <w:color w:val="000000"/>
          <w:sz w:val="24"/>
          <w:szCs w:val="24"/>
        </w:rPr>
        <w:t xml:space="preserve">, there are 4 clusters, and the case points for dengue fever sufferers are 500 - 1500 m from the </w:t>
      </w:r>
      <w:proofErr w:type="spellStart"/>
      <w:r w:rsidRPr="00405ECB">
        <w:rPr>
          <w:rFonts w:asciiTheme="majorHAnsi" w:hAnsiTheme="majorHAnsi" w:cstheme="majorHAnsi"/>
          <w:color w:val="000000"/>
          <w:sz w:val="24"/>
          <w:szCs w:val="24"/>
        </w:rPr>
        <w:t>Puskesmas</w:t>
      </w:r>
      <w:proofErr w:type="spellEnd"/>
      <w:r w:rsidRPr="00405ECB">
        <w:rPr>
          <w:rFonts w:asciiTheme="majorHAnsi" w:hAnsiTheme="majorHAnsi" w:cstheme="majorHAnsi"/>
          <w:color w:val="000000"/>
          <w:sz w:val="24"/>
          <w:szCs w:val="24"/>
        </w:rPr>
        <w:t>. Data on dengue fever sufferers in each community health center buffer in Deli Serdang Regency contained 81 cases. The house index obtained is 37; this shows that the density figure is medium larva density (5). The larvae-free rate (ABJ) was obtained at 63%. The container index obtained is 2.4. This shows the density figure at low density.</w:t>
      </w:r>
    </w:p>
    <w:p w14:paraId="24FE52DE" w14:textId="4F84E809" w:rsidR="00C62832" w:rsidRPr="00405ECB" w:rsidRDefault="00C62832" w:rsidP="00405ECB">
      <w:pPr>
        <w:spacing w:after="0" w:line="276" w:lineRule="auto"/>
        <w:jc w:val="both"/>
        <w:rPr>
          <w:rFonts w:asciiTheme="majorHAnsi" w:hAnsiTheme="majorHAnsi" w:cstheme="majorHAnsi"/>
          <w:sz w:val="24"/>
          <w:szCs w:val="24"/>
        </w:rPr>
      </w:pPr>
    </w:p>
    <w:p w14:paraId="219AEFD7" w14:textId="77777777" w:rsidR="005A65EB" w:rsidRPr="00405ECB" w:rsidRDefault="005A65EB" w:rsidP="00405ECB">
      <w:pPr>
        <w:spacing w:line="276" w:lineRule="auto"/>
        <w:rPr>
          <w:rFonts w:asciiTheme="majorHAnsi" w:hAnsiTheme="majorHAnsi" w:cstheme="majorHAnsi"/>
          <w:b/>
          <w:sz w:val="24"/>
          <w:szCs w:val="24"/>
        </w:rPr>
      </w:pPr>
      <w:r w:rsidRPr="00405ECB">
        <w:rPr>
          <w:rFonts w:asciiTheme="majorHAnsi" w:hAnsiTheme="majorHAnsi" w:cstheme="majorHAnsi"/>
          <w:b/>
          <w:sz w:val="24"/>
          <w:szCs w:val="24"/>
        </w:rPr>
        <w:br w:type="page"/>
      </w:r>
    </w:p>
    <w:p w14:paraId="6531FBE6" w14:textId="3380950C" w:rsidR="00D15347" w:rsidRPr="00405ECB" w:rsidRDefault="0042655A" w:rsidP="00405ECB">
      <w:pPr>
        <w:pBdr>
          <w:bottom w:val="double" w:sz="4" w:space="1" w:color="auto"/>
        </w:pBdr>
        <w:spacing w:after="0" w:line="276" w:lineRule="auto"/>
        <w:jc w:val="both"/>
        <w:rPr>
          <w:rFonts w:asciiTheme="majorHAnsi" w:hAnsiTheme="majorHAnsi" w:cstheme="majorHAnsi"/>
          <w:sz w:val="24"/>
          <w:szCs w:val="24"/>
        </w:rPr>
      </w:pPr>
      <w:r w:rsidRPr="00405ECB">
        <w:rPr>
          <w:rFonts w:asciiTheme="majorHAnsi" w:hAnsiTheme="majorHAnsi" w:cstheme="majorHAnsi"/>
          <w:b/>
          <w:sz w:val="24"/>
          <w:szCs w:val="24"/>
        </w:rPr>
        <w:lastRenderedPageBreak/>
        <w:t>BIBLIOGRAPHY</w:t>
      </w:r>
    </w:p>
    <w:p w14:paraId="67A66D6B" w14:textId="1D378BBA"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fldChar w:fldCharType="begin" w:fldLock="1"/>
      </w:r>
      <w:r w:rsidRPr="00405ECB">
        <w:rPr>
          <w:rFonts w:asciiTheme="majorHAnsi" w:hAnsiTheme="majorHAnsi" w:cstheme="majorHAnsi"/>
          <w:noProof/>
          <w:sz w:val="24"/>
          <w:szCs w:val="24"/>
        </w:rPr>
        <w:instrText xml:space="preserve">ADDIN Mendeley Bibliography CSL_BIBLIOGRAPHY </w:instrText>
      </w:r>
      <w:r w:rsidRPr="00405ECB">
        <w:rPr>
          <w:rFonts w:asciiTheme="majorHAnsi" w:hAnsiTheme="majorHAnsi" w:cstheme="majorHAnsi"/>
          <w:noProof/>
          <w:sz w:val="24"/>
          <w:szCs w:val="24"/>
        </w:rPr>
        <w:fldChar w:fldCharType="separate"/>
      </w:r>
      <w:r w:rsidRPr="00405ECB">
        <w:rPr>
          <w:rFonts w:asciiTheme="majorHAnsi" w:hAnsiTheme="majorHAnsi" w:cstheme="majorHAnsi"/>
          <w:noProof/>
          <w:sz w:val="24"/>
          <w:szCs w:val="24"/>
        </w:rPr>
        <w:t xml:space="preserve">Akbar, H., &amp; Hamzah, B. (2021). Identifikasi Kepadatan Larva Nyamuk Aedes Sp Sebagai Vektor Penyakit Demam Berdarah Dengue di Kelurahan Mogolaing Kotamobagu. </w:t>
      </w:r>
      <w:r w:rsidRPr="00405ECB">
        <w:rPr>
          <w:rFonts w:asciiTheme="majorHAnsi" w:hAnsiTheme="majorHAnsi" w:cstheme="majorHAnsi"/>
          <w:i/>
          <w:iCs/>
          <w:noProof/>
          <w:sz w:val="24"/>
          <w:szCs w:val="24"/>
        </w:rPr>
        <w:t>Afiasi: Jurnal Kesehatan Masyarakat</w:t>
      </w:r>
      <w:r w:rsidRPr="00405ECB">
        <w:rPr>
          <w:rFonts w:asciiTheme="majorHAnsi" w:hAnsiTheme="majorHAnsi" w:cstheme="majorHAnsi"/>
          <w:noProof/>
          <w:sz w:val="24"/>
          <w:szCs w:val="24"/>
        </w:rPr>
        <w:t xml:space="preserve">, </w:t>
      </w:r>
      <w:r w:rsidRPr="00405ECB">
        <w:rPr>
          <w:rFonts w:asciiTheme="majorHAnsi" w:hAnsiTheme="majorHAnsi" w:cstheme="majorHAnsi"/>
          <w:i/>
          <w:iCs/>
          <w:noProof/>
          <w:sz w:val="24"/>
          <w:szCs w:val="24"/>
        </w:rPr>
        <w:t>6</w:t>
      </w:r>
      <w:r w:rsidRPr="00405ECB">
        <w:rPr>
          <w:rFonts w:asciiTheme="majorHAnsi" w:hAnsiTheme="majorHAnsi" w:cstheme="majorHAnsi"/>
          <w:noProof/>
          <w:sz w:val="24"/>
          <w:szCs w:val="24"/>
        </w:rPr>
        <w:t>(2), 127–133.</w:t>
      </w:r>
    </w:p>
    <w:p w14:paraId="76C08E4A" w14:textId="77777777"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Atikasari, E., &amp; Sulistyorini, L. (2018). Pengendalian vektor nyamuk aedes aegypti di rumah sakit kota surabaya. </w:t>
      </w:r>
      <w:r w:rsidRPr="00405ECB">
        <w:rPr>
          <w:rFonts w:asciiTheme="majorHAnsi" w:hAnsiTheme="majorHAnsi" w:cstheme="majorHAnsi"/>
          <w:i/>
          <w:iCs/>
          <w:noProof/>
          <w:sz w:val="24"/>
          <w:szCs w:val="24"/>
        </w:rPr>
        <w:t>The Indonesian Journal of Public Health</w:t>
      </w:r>
      <w:r w:rsidRPr="00405ECB">
        <w:rPr>
          <w:rFonts w:asciiTheme="majorHAnsi" w:hAnsiTheme="majorHAnsi" w:cstheme="majorHAnsi"/>
          <w:noProof/>
          <w:sz w:val="24"/>
          <w:szCs w:val="24"/>
        </w:rPr>
        <w:t xml:space="preserve">, </w:t>
      </w:r>
      <w:r w:rsidRPr="00405ECB">
        <w:rPr>
          <w:rFonts w:asciiTheme="majorHAnsi" w:hAnsiTheme="majorHAnsi" w:cstheme="majorHAnsi"/>
          <w:i/>
          <w:iCs/>
          <w:noProof/>
          <w:sz w:val="24"/>
          <w:szCs w:val="24"/>
        </w:rPr>
        <w:t>13</w:t>
      </w:r>
      <w:r w:rsidRPr="00405ECB">
        <w:rPr>
          <w:rFonts w:asciiTheme="majorHAnsi" w:hAnsiTheme="majorHAnsi" w:cstheme="majorHAnsi"/>
          <w:noProof/>
          <w:sz w:val="24"/>
          <w:szCs w:val="24"/>
        </w:rPr>
        <w:t>(1), 71–82.</w:t>
      </w:r>
    </w:p>
    <w:p w14:paraId="541FA6B7" w14:textId="77777777"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Aulia, A., Hulla, C., Khairu, A., Anggol, U., &amp; Akbar, H. (2018). </w:t>
      </w:r>
      <w:r w:rsidRPr="00405ECB">
        <w:rPr>
          <w:rFonts w:asciiTheme="majorHAnsi" w:hAnsiTheme="majorHAnsi" w:cstheme="majorHAnsi"/>
          <w:i/>
          <w:iCs/>
          <w:noProof/>
          <w:sz w:val="24"/>
          <w:szCs w:val="24"/>
        </w:rPr>
        <w:t>Identifikasi Kepadatan Larva Nyamuk Aedes Sp Sebagai Vektor Penyakit Demam Berdarah Dengue di Kelurahan Mogolaing Kotamobagu Identification of Aedes Sp Mosquito Larvae Density as a Vector of Dengue Hemorrhagic Fever in Mogolaing Village, Kotamobagu</w:t>
      </w:r>
      <w:r w:rsidRPr="00405ECB">
        <w:rPr>
          <w:rFonts w:asciiTheme="majorHAnsi" w:hAnsiTheme="majorHAnsi" w:cstheme="majorHAnsi"/>
          <w:noProof/>
          <w:sz w:val="24"/>
          <w:szCs w:val="24"/>
        </w:rPr>
        <w:t xml:space="preserve">. </w:t>
      </w:r>
      <w:r w:rsidRPr="00405ECB">
        <w:rPr>
          <w:rFonts w:asciiTheme="majorHAnsi" w:hAnsiTheme="majorHAnsi" w:cstheme="majorHAnsi"/>
          <w:i/>
          <w:iCs/>
          <w:noProof/>
          <w:sz w:val="24"/>
          <w:szCs w:val="24"/>
        </w:rPr>
        <w:t>6</w:t>
      </w:r>
      <w:r w:rsidRPr="00405ECB">
        <w:rPr>
          <w:rFonts w:asciiTheme="majorHAnsi" w:hAnsiTheme="majorHAnsi" w:cstheme="majorHAnsi"/>
          <w:noProof/>
          <w:sz w:val="24"/>
          <w:szCs w:val="24"/>
        </w:rPr>
        <w:t>(2), 127–133.</w:t>
      </w:r>
    </w:p>
    <w:p w14:paraId="5D4BA1CE" w14:textId="77777777"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Hasyim, H. (2008). Manajemen Penyakit Lingkungan Berbasis Wilayah. </w:t>
      </w:r>
      <w:r w:rsidRPr="00405ECB">
        <w:rPr>
          <w:rFonts w:asciiTheme="majorHAnsi" w:hAnsiTheme="majorHAnsi" w:cstheme="majorHAnsi"/>
          <w:i/>
          <w:iCs/>
          <w:noProof/>
          <w:sz w:val="24"/>
          <w:szCs w:val="24"/>
        </w:rPr>
        <w:t>Jurnal Manajemen Pelayanan Kesehatan</w:t>
      </w:r>
      <w:r w:rsidRPr="00405ECB">
        <w:rPr>
          <w:rFonts w:asciiTheme="majorHAnsi" w:hAnsiTheme="majorHAnsi" w:cstheme="majorHAnsi"/>
          <w:noProof/>
          <w:sz w:val="24"/>
          <w:szCs w:val="24"/>
        </w:rPr>
        <w:t xml:space="preserve">, </w:t>
      </w:r>
      <w:r w:rsidRPr="00405ECB">
        <w:rPr>
          <w:rFonts w:asciiTheme="majorHAnsi" w:hAnsiTheme="majorHAnsi" w:cstheme="majorHAnsi"/>
          <w:i/>
          <w:iCs/>
          <w:noProof/>
          <w:sz w:val="24"/>
          <w:szCs w:val="24"/>
        </w:rPr>
        <w:t>11</w:t>
      </w:r>
      <w:r w:rsidRPr="00405ECB">
        <w:rPr>
          <w:rFonts w:asciiTheme="majorHAnsi" w:hAnsiTheme="majorHAnsi" w:cstheme="majorHAnsi"/>
          <w:noProof/>
          <w:sz w:val="24"/>
          <w:szCs w:val="24"/>
        </w:rPr>
        <w:t>(02).</w:t>
      </w:r>
    </w:p>
    <w:p w14:paraId="398B482F" w14:textId="77777777"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Kusuma, A. P., &amp; Sukendra, D. M. (2016). Analisis Spasial Kejadian Demam Berdarah Dengue Berdasarkan Kepadatan Penduduk. </w:t>
      </w:r>
      <w:r w:rsidRPr="00405ECB">
        <w:rPr>
          <w:rFonts w:asciiTheme="majorHAnsi" w:hAnsiTheme="majorHAnsi" w:cstheme="majorHAnsi"/>
          <w:i/>
          <w:iCs/>
          <w:noProof/>
          <w:sz w:val="24"/>
          <w:szCs w:val="24"/>
        </w:rPr>
        <w:t>Unnes Journal of Public Health</w:t>
      </w:r>
      <w:r w:rsidRPr="00405ECB">
        <w:rPr>
          <w:rFonts w:asciiTheme="majorHAnsi" w:hAnsiTheme="majorHAnsi" w:cstheme="majorHAnsi"/>
          <w:noProof/>
          <w:sz w:val="24"/>
          <w:szCs w:val="24"/>
        </w:rPr>
        <w:t xml:space="preserve">, </w:t>
      </w:r>
      <w:r w:rsidRPr="00405ECB">
        <w:rPr>
          <w:rFonts w:asciiTheme="majorHAnsi" w:hAnsiTheme="majorHAnsi" w:cstheme="majorHAnsi"/>
          <w:i/>
          <w:iCs/>
          <w:noProof/>
          <w:sz w:val="24"/>
          <w:szCs w:val="24"/>
        </w:rPr>
        <w:t>5</w:t>
      </w:r>
      <w:r w:rsidRPr="00405ECB">
        <w:rPr>
          <w:rFonts w:asciiTheme="majorHAnsi" w:hAnsiTheme="majorHAnsi" w:cstheme="majorHAnsi"/>
          <w:noProof/>
          <w:sz w:val="24"/>
          <w:szCs w:val="24"/>
        </w:rPr>
        <w:t>(1), 48. https://doi.org/10.15294/ujph.v5i1.9703</w:t>
      </w:r>
    </w:p>
    <w:p w14:paraId="2F5CFF94" w14:textId="77777777"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Niroui, F., Sletten, E. M., Song, Y., Wang, A. I., Ong, W. J., Kong, J., Yablonovitch, E., Swager, T. M., Lang, J. H., &amp; Bulović, V. (2015). Tunneling nanoelectromechanical switches. </w:t>
      </w:r>
      <w:r w:rsidRPr="00405ECB">
        <w:rPr>
          <w:rFonts w:asciiTheme="majorHAnsi" w:hAnsiTheme="majorHAnsi" w:cstheme="majorHAnsi"/>
          <w:i/>
          <w:iCs/>
          <w:noProof/>
          <w:sz w:val="24"/>
          <w:szCs w:val="24"/>
        </w:rPr>
        <w:t xml:space="preserve">2015 Fourth Berkeley Symposium on Energy </w:t>
      </w:r>
      <w:r w:rsidRPr="00405ECB">
        <w:rPr>
          <w:rFonts w:asciiTheme="majorHAnsi" w:hAnsiTheme="majorHAnsi" w:cstheme="majorHAnsi"/>
          <w:i/>
          <w:iCs/>
          <w:noProof/>
          <w:sz w:val="24"/>
          <w:szCs w:val="24"/>
        </w:rPr>
        <w:t>Efficient Electronic Systems (E3S)</w:t>
      </w:r>
      <w:r w:rsidRPr="00405ECB">
        <w:rPr>
          <w:rFonts w:asciiTheme="majorHAnsi" w:hAnsiTheme="majorHAnsi" w:cstheme="majorHAnsi"/>
          <w:noProof/>
          <w:sz w:val="24"/>
          <w:szCs w:val="24"/>
        </w:rPr>
        <w:t>, 1–3.</w:t>
      </w:r>
    </w:p>
    <w:p w14:paraId="1DC595B4" w14:textId="77777777"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Sulistyo, A. (2019). Kombinasi teknologi aplikasi gps mobile dan pemetaan sig dalam sistem pemantauan demam berdarah (DBD). </w:t>
      </w:r>
      <w:r w:rsidRPr="00405ECB">
        <w:rPr>
          <w:rFonts w:asciiTheme="majorHAnsi" w:hAnsiTheme="majorHAnsi" w:cstheme="majorHAnsi"/>
          <w:i/>
          <w:iCs/>
          <w:noProof/>
          <w:sz w:val="24"/>
          <w:szCs w:val="24"/>
        </w:rPr>
        <w:t>Khazanah Informatika: Jurnal Ilmu Komputer Dan Informatika</w:t>
      </w:r>
      <w:r w:rsidRPr="00405ECB">
        <w:rPr>
          <w:rFonts w:asciiTheme="majorHAnsi" w:hAnsiTheme="majorHAnsi" w:cstheme="majorHAnsi"/>
          <w:noProof/>
          <w:sz w:val="24"/>
          <w:szCs w:val="24"/>
        </w:rPr>
        <w:t xml:space="preserve">, </w:t>
      </w:r>
      <w:r w:rsidRPr="00405ECB">
        <w:rPr>
          <w:rFonts w:asciiTheme="majorHAnsi" w:hAnsiTheme="majorHAnsi" w:cstheme="majorHAnsi"/>
          <w:i/>
          <w:iCs/>
          <w:noProof/>
          <w:sz w:val="24"/>
          <w:szCs w:val="24"/>
        </w:rPr>
        <w:t>5</w:t>
      </w:r>
      <w:r w:rsidRPr="00405ECB">
        <w:rPr>
          <w:rFonts w:asciiTheme="majorHAnsi" w:hAnsiTheme="majorHAnsi" w:cstheme="majorHAnsi"/>
          <w:noProof/>
          <w:sz w:val="24"/>
          <w:szCs w:val="24"/>
        </w:rPr>
        <w:t>(1), 6–14.</w:t>
      </w:r>
    </w:p>
    <w:p w14:paraId="400CD210" w14:textId="77777777" w:rsidR="00405ECB" w:rsidRPr="00405ECB" w:rsidRDefault="00405ECB" w:rsidP="00405ECB">
      <w:pPr>
        <w:widowControl w:val="0"/>
        <w:autoSpaceDE w:val="0"/>
        <w:autoSpaceDN w:val="0"/>
        <w:adjustRightInd w:val="0"/>
        <w:spacing w:after="0" w:line="276" w:lineRule="auto"/>
        <w:ind w:left="480" w:hanging="480"/>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Tambunan, H. N. R. (2013). </w:t>
      </w:r>
      <w:r w:rsidRPr="00405ECB">
        <w:rPr>
          <w:rFonts w:asciiTheme="majorHAnsi" w:hAnsiTheme="majorHAnsi" w:cstheme="majorHAnsi"/>
          <w:i/>
          <w:iCs/>
          <w:noProof/>
          <w:sz w:val="24"/>
          <w:szCs w:val="24"/>
        </w:rPr>
        <w:t>Faktor Lingkungan Dan Kejadian Demam Berdarah Dengue (DBD) Daerah Endemis Kecamatan Gading Cempaka Kota Bengkulu Tahun 2012</w:t>
      </w:r>
      <w:r w:rsidRPr="00405ECB">
        <w:rPr>
          <w:rFonts w:asciiTheme="majorHAnsi" w:hAnsiTheme="majorHAnsi" w:cstheme="majorHAnsi"/>
          <w:noProof/>
          <w:sz w:val="24"/>
          <w:szCs w:val="24"/>
        </w:rPr>
        <w:t>. Universitas Gadjah Mada.</w:t>
      </w:r>
    </w:p>
    <w:p w14:paraId="77DBF58B" w14:textId="4C1F5ADF" w:rsidR="00D15347" w:rsidRPr="00405ECB" w:rsidRDefault="00405ECB" w:rsidP="00405ECB">
      <w:pPr>
        <w:tabs>
          <w:tab w:val="left" w:pos="284"/>
        </w:tabs>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fldChar w:fldCharType="end"/>
      </w:r>
      <w:r w:rsidR="00D15347" w:rsidRPr="00405ECB">
        <w:rPr>
          <w:rFonts w:asciiTheme="majorHAnsi" w:hAnsiTheme="majorHAnsi" w:cstheme="majorHAnsi"/>
          <w:noProof/>
          <w:sz w:val="24"/>
          <w:szCs w:val="24"/>
        </w:rPr>
        <w:t xml:space="preserve">Achmadi, U. F. (2019) ‘Manajemen Penyakit Lingkungan Berbasis Wilayah’, </w:t>
      </w:r>
      <w:r w:rsidR="00D15347" w:rsidRPr="00405ECB">
        <w:rPr>
          <w:rFonts w:asciiTheme="majorHAnsi" w:hAnsiTheme="majorHAnsi" w:cstheme="majorHAnsi"/>
          <w:i/>
          <w:iCs/>
          <w:noProof/>
          <w:sz w:val="24"/>
          <w:szCs w:val="24"/>
        </w:rPr>
        <w:t>Jurnal Manajemen Pelayanan Kesehatan</w:t>
      </w:r>
      <w:r w:rsidR="00D15347" w:rsidRPr="00405ECB">
        <w:rPr>
          <w:rFonts w:asciiTheme="majorHAnsi" w:hAnsiTheme="majorHAnsi" w:cstheme="majorHAnsi"/>
          <w:noProof/>
          <w:sz w:val="24"/>
          <w:szCs w:val="24"/>
        </w:rPr>
        <w:t>, 11(02), pp. 72–76.</w:t>
      </w:r>
    </w:p>
    <w:p w14:paraId="4C67CCEE" w14:textId="77777777" w:rsidR="00D15347" w:rsidRPr="00405ECB" w:rsidRDefault="00D15347" w:rsidP="00405ECB">
      <w:pPr>
        <w:tabs>
          <w:tab w:val="left" w:pos="284"/>
        </w:tabs>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sz w:val="24"/>
          <w:szCs w:val="24"/>
        </w:rPr>
        <w:t>A.</w:t>
      </w:r>
      <w:r w:rsidRPr="00405ECB">
        <w:rPr>
          <w:rFonts w:asciiTheme="majorHAnsi" w:hAnsiTheme="majorHAnsi" w:cstheme="majorHAnsi"/>
          <w:spacing w:val="-6"/>
          <w:sz w:val="24"/>
          <w:szCs w:val="24"/>
        </w:rPr>
        <w:t xml:space="preserve"> </w:t>
      </w:r>
      <w:proofErr w:type="spellStart"/>
      <w:r w:rsidRPr="00405ECB">
        <w:rPr>
          <w:rFonts w:asciiTheme="majorHAnsi" w:hAnsiTheme="majorHAnsi" w:cstheme="majorHAnsi"/>
          <w:sz w:val="24"/>
          <w:szCs w:val="24"/>
        </w:rPr>
        <w:t>Sulistyo</w:t>
      </w:r>
      <w:proofErr w:type="spellEnd"/>
      <w:r w:rsidRPr="00405ECB">
        <w:rPr>
          <w:rFonts w:asciiTheme="majorHAnsi" w:hAnsiTheme="majorHAnsi" w:cstheme="majorHAnsi"/>
          <w:sz w:val="24"/>
          <w:szCs w:val="24"/>
        </w:rPr>
        <w:t>,</w:t>
      </w:r>
      <w:r w:rsidRPr="00405ECB">
        <w:rPr>
          <w:rFonts w:asciiTheme="majorHAnsi" w:hAnsiTheme="majorHAnsi" w:cstheme="majorHAnsi"/>
          <w:spacing w:val="-5"/>
          <w:sz w:val="24"/>
          <w:szCs w:val="24"/>
        </w:rPr>
        <w:t xml:space="preserve"> </w:t>
      </w:r>
      <w:r w:rsidRPr="00405ECB">
        <w:rPr>
          <w:rFonts w:asciiTheme="majorHAnsi" w:hAnsiTheme="majorHAnsi" w:cstheme="majorHAnsi"/>
          <w:sz w:val="24"/>
          <w:szCs w:val="24"/>
        </w:rPr>
        <w:t>A.</w:t>
      </w:r>
      <w:r w:rsidRPr="00405ECB">
        <w:rPr>
          <w:rFonts w:asciiTheme="majorHAnsi" w:hAnsiTheme="majorHAnsi" w:cstheme="majorHAnsi"/>
          <w:spacing w:val="-6"/>
          <w:sz w:val="24"/>
          <w:szCs w:val="24"/>
        </w:rPr>
        <w:t xml:space="preserve"> </w:t>
      </w:r>
      <w:proofErr w:type="spellStart"/>
      <w:r w:rsidRPr="00405ECB">
        <w:rPr>
          <w:rFonts w:asciiTheme="majorHAnsi" w:hAnsiTheme="majorHAnsi" w:cstheme="majorHAnsi"/>
          <w:sz w:val="24"/>
          <w:szCs w:val="24"/>
        </w:rPr>
        <w:t>Yudhana</w:t>
      </w:r>
      <w:proofErr w:type="spellEnd"/>
      <w:r w:rsidRPr="00405ECB">
        <w:rPr>
          <w:rFonts w:asciiTheme="majorHAnsi" w:hAnsiTheme="majorHAnsi" w:cstheme="majorHAnsi"/>
          <w:sz w:val="24"/>
          <w:szCs w:val="24"/>
        </w:rPr>
        <w:t>,</w:t>
      </w:r>
      <w:r w:rsidRPr="00405ECB">
        <w:rPr>
          <w:rFonts w:asciiTheme="majorHAnsi" w:hAnsiTheme="majorHAnsi" w:cstheme="majorHAnsi"/>
          <w:spacing w:val="-6"/>
          <w:sz w:val="24"/>
          <w:szCs w:val="24"/>
        </w:rPr>
        <w:t xml:space="preserve"> </w:t>
      </w:r>
      <w:r w:rsidRPr="00405ECB">
        <w:rPr>
          <w:rFonts w:asciiTheme="majorHAnsi" w:hAnsiTheme="majorHAnsi" w:cstheme="majorHAnsi"/>
          <w:sz w:val="24"/>
          <w:szCs w:val="24"/>
        </w:rPr>
        <w:t>R.</w:t>
      </w:r>
      <w:r w:rsidRPr="00405ECB">
        <w:rPr>
          <w:rFonts w:asciiTheme="majorHAnsi" w:hAnsiTheme="majorHAnsi" w:cstheme="majorHAnsi"/>
          <w:spacing w:val="-6"/>
          <w:sz w:val="24"/>
          <w:szCs w:val="24"/>
        </w:rPr>
        <w:t xml:space="preserve"> </w:t>
      </w:r>
      <w:r w:rsidRPr="00405ECB">
        <w:rPr>
          <w:rFonts w:asciiTheme="majorHAnsi" w:hAnsiTheme="majorHAnsi" w:cstheme="majorHAnsi"/>
          <w:sz w:val="24"/>
          <w:szCs w:val="24"/>
        </w:rPr>
        <w:t>Aini,</w:t>
      </w:r>
      <w:r w:rsidRPr="00405ECB">
        <w:rPr>
          <w:rFonts w:asciiTheme="majorHAnsi" w:hAnsiTheme="majorHAnsi" w:cstheme="majorHAnsi"/>
          <w:spacing w:val="-5"/>
          <w:sz w:val="24"/>
          <w:szCs w:val="24"/>
        </w:rPr>
        <w:t xml:space="preserve"> </w:t>
      </w:r>
      <w:r w:rsidRPr="00405ECB">
        <w:rPr>
          <w:rFonts w:asciiTheme="majorHAnsi" w:hAnsiTheme="majorHAnsi" w:cstheme="majorHAnsi"/>
          <w:sz w:val="24"/>
          <w:szCs w:val="24"/>
        </w:rPr>
        <w:t>and</w:t>
      </w:r>
      <w:r w:rsidRPr="00405ECB">
        <w:rPr>
          <w:rFonts w:asciiTheme="majorHAnsi" w:hAnsiTheme="majorHAnsi" w:cstheme="majorHAnsi"/>
          <w:spacing w:val="-5"/>
          <w:sz w:val="24"/>
          <w:szCs w:val="24"/>
        </w:rPr>
        <w:t xml:space="preserve"> </w:t>
      </w:r>
      <w:r w:rsidRPr="00405ECB">
        <w:rPr>
          <w:rFonts w:asciiTheme="majorHAnsi" w:hAnsiTheme="majorHAnsi" w:cstheme="majorHAnsi"/>
          <w:sz w:val="24"/>
          <w:szCs w:val="24"/>
        </w:rPr>
        <w:t>U.</w:t>
      </w:r>
      <w:r w:rsidRPr="00405ECB">
        <w:rPr>
          <w:rFonts w:asciiTheme="majorHAnsi" w:hAnsiTheme="majorHAnsi" w:cstheme="majorHAnsi"/>
          <w:spacing w:val="-6"/>
          <w:sz w:val="24"/>
          <w:szCs w:val="24"/>
        </w:rPr>
        <w:t xml:space="preserve"> </w:t>
      </w:r>
      <w:r w:rsidRPr="00405ECB">
        <w:rPr>
          <w:rFonts w:asciiTheme="majorHAnsi" w:hAnsiTheme="majorHAnsi" w:cstheme="majorHAnsi"/>
          <w:sz w:val="24"/>
          <w:szCs w:val="24"/>
        </w:rPr>
        <w:t>A.</w:t>
      </w:r>
      <w:r w:rsidRPr="00405ECB">
        <w:rPr>
          <w:rFonts w:asciiTheme="majorHAnsi" w:hAnsiTheme="majorHAnsi" w:cstheme="majorHAnsi"/>
          <w:spacing w:val="-6"/>
          <w:sz w:val="24"/>
          <w:szCs w:val="24"/>
        </w:rPr>
        <w:t xml:space="preserve"> </w:t>
      </w:r>
      <w:r w:rsidRPr="00405ECB">
        <w:rPr>
          <w:rFonts w:asciiTheme="majorHAnsi" w:hAnsiTheme="majorHAnsi" w:cstheme="majorHAnsi"/>
          <w:sz w:val="24"/>
          <w:szCs w:val="24"/>
        </w:rPr>
        <w:t>Dahlan,</w:t>
      </w:r>
      <w:r w:rsidRPr="00405ECB">
        <w:rPr>
          <w:rFonts w:asciiTheme="majorHAnsi" w:hAnsiTheme="majorHAnsi" w:cstheme="majorHAnsi"/>
          <w:spacing w:val="-6"/>
          <w:sz w:val="24"/>
          <w:szCs w:val="24"/>
        </w:rPr>
        <w:t xml:space="preserve"> </w:t>
      </w:r>
      <w:r w:rsidRPr="00405ECB">
        <w:rPr>
          <w:rFonts w:asciiTheme="majorHAnsi" w:hAnsiTheme="majorHAnsi" w:cstheme="majorHAnsi"/>
          <w:sz w:val="24"/>
          <w:szCs w:val="24"/>
        </w:rPr>
        <w:t>“</w:t>
      </w:r>
      <w:proofErr w:type="spellStart"/>
      <w:r w:rsidRPr="00405ECB">
        <w:rPr>
          <w:rFonts w:asciiTheme="majorHAnsi" w:hAnsiTheme="majorHAnsi" w:cstheme="majorHAnsi"/>
          <w:sz w:val="24"/>
          <w:szCs w:val="24"/>
        </w:rPr>
        <w:t>khazanah</w:t>
      </w:r>
      <w:proofErr w:type="spellEnd"/>
      <w:r w:rsidRPr="00405ECB">
        <w:rPr>
          <w:rFonts w:asciiTheme="majorHAnsi" w:hAnsiTheme="majorHAnsi" w:cstheme="majorHAnsi"/>
          <w:spacing w:val="-6"/>
          <w:sz w:val="24"/>
          <w:szCs w:val="24"/>
        </w:rPr>
        <w:t xml:space="preserve"> </w:t>
      </w:r>
      <w:proofErr w:type="spellStart"/>
      <w:r w:rsidRPr="00405ECB">
        <w:rPr>
          <w:rFonts w:asciiTheme="majorHAnsi" w:hAnsiTheme="majorHAnsi" w:cstheme="majorHAnsi"/>
          <w:sz w:val="24"/>
          <w:szCs w:val="24"/>
        </w:rPr>
        <w:t>informatika</w:t>
      </w:r>
      <w:proofErr w:type="spellEnd"/>
      <w:r w:rsidRPr="00405ECB">
        <w:rPr>
          <w:rFonts w:asciiTheme="majorHAnsi" w:hAnsiTheme="majorHAnsi" w:cstheme="majorHAnsi"/>
          <w:spacing w:val="-4"/>
          <w:sz w:val="24"/>
          <w:szCs w:val="24"/>
        </w:rPr>
        <w:t xml:space="preserve"> </w:t>
      </w:r>
      <w:proofErr w:type="spellStart"/>
      <w:r w:rsidRPr="00405ECB">
        <w:rPr>
          <w:rFonts w:asciiTheme="majorHAnsi" w:hAnsiTheme="majorHAnsi" w:cstheme="majorHAnsi"/>
          <w:sz w:val="24"/>
          <w:szCs w:val="24"/>
        </w:rPr>
        <w:t>Kombinasi</w:t>
      </w:r>
      <w:proofErr w:type="spellEnd"/>
      <w:r w:rsidRPr="00405ECB">
        <w:rPr>
          <w:rFonts w:asciiTheme="majorHAnsi" w:hAnsiTheme="majorHAnsi" w:cstheme="majorHAnsi"/>
          <w:spacing w:val="-57"/>
          <w:sz w:val="24"/>
          <w:szCs w:val="24"/>
        </w:rPr>
        <w:t xml:space="preserve"> </w:t>
      </w:r>
      <w:proofErr w:type="spellStart"/>
      <w:r w:rsidRPr="00405ECB">
        <w:rPr>
          <w:rFonts w:asciiTheme="majorHAnsi" w:hAnsiTheme="majorHAnsi" w:cstheme="majorHAnsi"/>
          <w:sz w:val="24"/>
          <w:szCs w:val="24"/>
        </w:rPr>
        <w:t>Teknologi</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Aplikasi</w:t>
      </w:r>
      <w:proofErr w:type="spellEnd"/>
      <w:r w:rsidRPr="00405ECB">
        <w:rPr>
          <w:rFonts w:asciiTheme="majorHAnsi" w:hAnsiTheme="majorHAnsi" w:cstheme="majorHAnsi"/>
          <w:sz w:val="24"/>
          <w:szCs w:val="24"/>
        </w:rPr>
        <w:t xml:space="preserve"> GPS Mobile dan </w:t>
      </w:r>
      <w:proofErr w:type="spellStart"/>
      <w:r w:rsidRPr="00405ECB">
        <w:rPr>
          <w:rFonts w:asciiTheme="majorHAnsi" w:hAnsiTheme="majorHAnsi" w:cstheme="majorHAnsi"/>
          <w:sz w:val="24"/>
          <w:szCs w:val="24"/>
        </w:rPr>
        <w:t>Pemetaan</w:t>
      </w:r>
      <w:proofErr w:type="spellEnd"/>
      <w:r w:rsidRPr="00405ECB">
        <w:rPr>
          <w:rFonts w:asciiTheme="majorHAnsi" w:hAnsiTheme="majorHAnsi" w:cstheme="majorHAnsi"/>
          <w:sz w:val="24"/>
          <w:szCs w:val="24"/>
        </w:rPr>
        <w:t xml:space="preserve"> SIG </w:t>
      </w:r>
      <w:proofErr w:type="spellStart"/>
      <w:r w:rsidRPr="00405ECB">
        <w:rPr>
          <w:rFonts w:asciiTheme="majorHAnsi" w:hAnsiTheme="majorHAnsi" w:cstheme="majorHAnsi"/>
          <w:sz w:val="24"/>
          <w:szCs w:val="24"/>
        </w:rPr>
        <w:t>dalam</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Sistem</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Pemantauan</w:t>
      </w:r>
      <w:proofErr w:type="spellEnd"/>
      <w:r w:rsidRPr="00405ECB">
        <w:rPr>
          <w:rFonts w:asciiTheme="majorHAnsi" w:hAnsiTheme="majorHAnsi" w:cstheme="majorHAnsi"/>
          <w:sz w:val="24"/>
          <w:szCs w:val="24"/>
        </w:rPr>
        <w:t xml:space="preserve"> Demam</w:t>
      </w:r>
      <w:r w:rsidRPr="00405ECB">
        <w:rPr>
          <w:rFonts w:asciiTheme="majorHAnsi" w:hAnsiTheme="majorHAnsi" w:cstheme="majorHAnsi"/>
          <w:spacing w:val="-57"/>
          <w:sz w:val="24"/>
          <w:szCs w:val="24"/>
        </w:rPr>
        <w:t xml:space="preserve"> </w:t>
      </w:r>
      <w:proofErr w:type="spellStart"/>
      <w:r w:rsidRPr="00405ECB">
        <w:rPr>
          <w:rFonts w:asciiTheme="majorHAnsi" w:hAnsiTheme="majorHAnsi" w:cstheme="majorHAnsi"/>
          <w:sz w:val="24"/>
          <w:szCs w:val="24"/>
        </w:rPr>
        <w:t>Berdarah</w:t>
      </w:r>
      <w:proofErr w:type="spellEnd"/>
      <w:r w:rsidRPr="00405ECB">
        <w:rPr>
          <w:rFonts w:asciiTheme="majorHAnsi" w:hAnsiTheme="majorHAnsi" w:cstheme="majorHAnsi"/>
          <w:spacing w:val="1"/>
          <w:sz w:val="24"/>
          <w:szCs w:val="24"/>
        </w:rPr>
        <w:t xml:space="preserve"> </w:t>
      </w:r>
      <w:proofErr w:type="gramStart"/>
      <w:r w:rsidRPr="00405ECB">
        <w:rPr>
          <w:rFonts w:asciiTheme="majorHAnsi" w:hAnsiTheme="majorHAnsi" w:cstheme="majorHAnsi"/>
          <w:sz w:val="24"/>
          <w:szCs w:val="24"/>
        </w:rPr>
        <w:t>( DBD</w:t>
      </w:r>
      <w:proofErr w:type="gram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vol. 5, no. 1, pp. 6–14, 2019.</w:t>
      </w:r>
    </w:p>
    <w:p w14:paraId="452DB4FB" w14:textId="77777777" w:rsidR="00D15347" w:rsidRPr="00405ECB" w:rsidRDefault="00D15347" w:rsidP="00405ECB">
      <w:pPr>
        <w:tabs>
          <w:tab w:val="left" w:pos="284"/>
        </w:tabs>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Aulia, A. </w:t>
      </w:r>
      <w:r w:rsidRPr="00405ECB">
        <w:rPr>
          <w:rFonts w:asciiTheme="majorHAnsi" w:hAnsiTheme="majorHAnsi" w:cstheme="majorHAnsi"/>
          <w:i/>
          <w:iCs/>
          <w:noProof/>
          <w:sz w:val="24"/>
          <w:szCs w:val="24"/>
        </w:rPr>
        <w:t>et al.</w:t>
      </w:r>
      <w:r w:rsidRPr="00405ECB">
        <w:rPr>
          <w:rFonts w:asciiTheme="majorHAnsi" w:hAnsiTheme="majorHAnsi" w:cstheme="majorHAnsi"/>
          <w:noProof/>
          <w:sz w:val="24"/>
          <w:szCs w:val="24"/>
        </w:rPr>
        <w:t xml:space="preserve"> (2018) ‘Identifikasi Kepadatan Larva Nyamuk Aedes Sp Sebagai Vektor Penyakit Demam Berdarah Dengue di Kelurahan Mogolaing Kotamobagu Identification of Aedes Sp Mosquito Larvae Density as a Vector of Dengue Hemorrhagic Fever in Mogolaing Village, Kotamobagu’, 6(2), pp. 127–133.</w:t>
      </w:r>
    </w:p>
    <w:p w14:paraId="0584D7F4" w14:textId="77777777" w:rsidR="00D15347" w:rsidRPr="00405ECB" w:rsidRDefault="00D15347" w:rsidP="00405ECB">
      <w:pPr>
        <w:tabs>
          <w:tab w:val="left" w:pos="284"/>
        </w:tabs>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pacing w:val="-1"/>
          <w:sz w:val="24"/>
          <w:szCs w:val="24"/>
        </w:rPr>
        <w:t>E.</w:t>
      </w:r>
      <w:r w:rsidRPr="00405ECB">
        <w:rPr>
          <w:rFonts w:asciiTheme="majorHAnsi" w:hAnsiTheme="majorHAnsi" w:cstheme="majorHAnsi"/>
          <w:spacing w:val="-13"/>
          <w:sz w:val="24"/>
          <w:szCs w:val="24"/>
        </w:rPr>
        <w:t xml:space="preserve"> </w:t>
      </w:r>
      <w:proofErr w:type="spellStart"/>
      <w:r w:rsidRPr="00405ECB">
        <w:rPr>
          <w:rFonts w:asciiTheme="majorHAnsi" w:hAnsiTheme="majorHAnsi" w:cstheme="majorHAnsi"/>
          <w:spacing w:val="-1"/>
          <w:sz w:val="24"/>
          <w:szCs w:val="24"/>
        </w:rPr>
        <w:t>Atikasari</w:t>
      </w:r>
      <w:proofErr w:type="spellEnd"/>
      <w:r w:rsidRPr="00405ECB">
        <w:rPr>
          <w:rFonts w:asciiTheme="majorHAnsi" w:hAnsiTheme="majorHAnsi" w:cstheme="majorHAnsi"/>
          <w:spacing w:val="-1"/>
          <w:sz w:val="24"/>
          <w:szCs w:val="24"/>
        </w:rPr>
        <w:t>,</w:t>
      </w:r>
      <w:r w:rsidRPr="00405ECB">
        <w:rPr>
          <w:rFonts w:asciiTheme="majorHAnsi" w:hAnsiTheme="majorHAnsi" w:cstheme="majorHAnsi"/>
          <w:spacing w:val="-13"/>
          <w:sz w:val="24"/>
          <w:szCs w:val="24"/>
        </w:rPr>
        <w:t xml:space="preserve"> </w:t>
      </w:r>
      <w:r w:rsidRPr="00405ECB">
        <w:rPr>
          <w:rFonts w:asciiTheme="majorHAnsi" w:hAnsiTheme="majorHAnsi" w:cstheme="majorHAnsi"/>
          <w:spacing w:val="-1"/>
          <w:sz w:val="24"/>
          <w:szCs w:val="24"/>
        </w:rPr>
        <w:t>“</w:t>
      </w:r>
      <w:proofErr w:type="spellStart"/>
      <w:r w:rsidRPr="00405ECB">
        <w:rPr>
          <w:rFonts w:asciiTheme="majorHAnsi" w:hAnsiTheme="majorHAnsi" w:cstheme="majorHAnsi"/>
          <w:spacing w:val="-1"/>
          <w:sz w:val="24"/>
          <w:szCs w:val="24"/>
        </w:rPr>
        <w:t>Pengendalian</w:t>
      </w:r>
      <w:proofErr w:type="spellEnd"/>
      <w:r w:rsidRPr="00405ECB">
        <w:rPr>
          <w:rFonts w:asciiTheme="majorHAnsi" w:hAnsiTheme="majorHAnsi" w:cstheme="majorHAnsi"/>
          <w:spacing w:val="-12"/>
          <w:sz w:val="24"/>
          <w:szCs w:val="24"/>
        </w:rPr>
        <w:t xml:space="preserve"> </w:t>
      </w:r>
      <w:proofErr w:type="spellStart"/>
      <w:r w:rsidRPr="00405ECB">
        <w:rPr>
          <w:rFonts w:asciiTheme="majorHAnsi" w:hAnsiTheme="majorHAnsi" w:cstheme="majorHAnsi"/>
          <w:sz w:val="24"/>
          <w:szCs w:val="24"/>
        </w:rPr>
        <w:t>vektor</w:t>
      </w:r>
      <w:proofErr w:type="spellEnd"/>
      <w:r w:rsidRPr="00405ECB">
        <w:rPr>
          <w:rFonts w:asciiTheme="majorHAnsi" w:hAnsiTheme="majorHAnsi" w:cstheme="majorHAnsi"/>
          <w:spacing w:val="-13"/>
          <w:sz w:val="24"/>
          <w:szCs w:val="24"/>
        </w:rPr>
        <w:t xml:space="preserve"> </w:t>
      </w:r>
      <w:proofErr w:type="spellStart"/>
      <w:r w:rsidRPr="00405ECB">
        <w:rPr>
          <w:rFonts w:asciiTheme="majorHAnsi" w:hAnsiTheme="majorHAnsi" w:cstheme="majorHAnsi"/>
          <w:sz w:val="24"/>
          <w:szCs w:val="24"/>
        </w:rPr>
        <w:t>nyamuk</w:t>
      </w:r>
      <w:proofErr w:type="spellEnd"/>
      <w:r w:rsidRPr="00405ECB">
        <w:rPr>
          <w:rFonts w:asciiTheme="majorHAnsi" w:hAnsiTheme="majorHAnsi" w:cstheme="majorHAnsi"/>
          <w:spacing w:val="-10"/>
          <w:sz w:val="24"/>
          <w:szCs w:val="24"/>
        </w:rPr>
        <w:t xml:space="preserve"> </w:t>
      </w:r>
      <w:r w:rsidRPr="00405ECB">
        <w:rPr>
          <w:rFonts w:asciiTheme="majorHAnsi" w:hAnsiTheme="majorHAnsi" w:cstheme="majorHAnsi"/>
          <w:sz w:val="24"/>
          <w:szCs w:val="24"/>
        </w:rPr>
        <w:t>aedes</w:t>
      </w:r>
      <w:r w:rsidRPr="00405ECB">
        <w:rPr>
          <w:rFonts w:asciiTheme="majorHAnsi" w:hAnsiTheme="majorHAnsi" w:cstheme="majorHAnsi"/>
          <w:spacing w:val="-10"/>
          <w:sz w:val="24"/>
          <w:szCs w:val="24"/>
        </w:rPr>
        <w:t xml:space="preserve"> </w:t>
      </w:r>
      <w:r w:rsidRPr="00405ECB">
        <w:rPr>
          <w:rFonts w:asciiTheme="majorHAnsi" w:hAnsiTheme="majorHAnsi" w:cstheme="majorHAnsi"/>
          <w:sz w:val="24"/>
          <w:szCs w:val="24"/>
        </w:rPr>
        <w:t>aegypti</w:t>
      </w:r>
      <w:r w:rsidRPr="00405ECB">
        <w:rPr>
          <w:rFonts w:asciiTheme="majorHAnsi" w:hAnsiTheme="majorHAnsi" w:cstheme="majorHAnsi"/>
          <w:spacing w:val="-12"/>
          <w:sz w:val="24"/>
          <w:szCs w:val="24"/>
        </w:rPr>
        <w:t xml:space="preserve"> </w:t>
      </w:r>
      <w:r w:rsidRPr="00405ECB">
        <w:rPr>
          <w:rFonts w:asciiTheme="majorHAnsi" w:hAnsiTheme="majorHAnsi" w:cstheme="majorHAnsi"/>
          <w:sz w:val="24"/>
          <w:szCs w:val="24"/>
        </w:rPr>
        <w:t>di</w:t>
      </w:r>
      <w:r w:rsidRPr="00405ECB">
        <w:rPr>
          <w:rFonts w:asciiTheme="majorHAnsi" w:hAnsiTheme="majorHAnsi" w:cstheme="majorHAnsi"/>
          <w:spacing w:val="-12"/>
          <w:sz w:val="24"/>
          <w:szCs w:val="24"/>
        </w:rPr>
        <w:t xml:space="preserve"> </w:t>
      </w:r>
      <w:proofErr w:type="spellStart"/>
      <w:r w:rsidRPr="00405ECB">
        <w:rPr>
          <w:rFonts w:asciiTheme="majorHAnsi" w:hAnsiTheme="majorHAnsi" w:cstheme="majorHAnsi"/>
          <w:sz w:val="24"/>
          <w:szCs w:val="24"/>
        </w:rPr>
        <w:t>rumah</w:t>
      </w:r>
      <w:proofErr w:type="spellEnd"/>
      <w:r w:rsidRPr="00405ECB">
        <w:rPr>
          <w:rFonts w:asciiTheme="majorHAnsi" w:hAnsiTheme="majorHAnsi" w:cstheme="majorHAnsi"/>
          <w:spacing w:val="-12"/>
          <w:sz w:val="24"/>
          <w:szCs w:val="24"/>
        </w:rPr>
        <w:t xml:space="preserve"> </w:t>
      </w:r>
      <w:proofErr w:type="spellStart"/>
      <w:r w:rsidRPr="00405ECB">
        <w:rPr>
          <w:rFonts w:asciiTheme="majorHAnsi" w:hAnsiTheme="majorHAnsi" w:cstheme="majorHAnsi"/>
          <w:sz w:val="24"/>
          <w:szCs w:val="24"/>
        </w:rPr>
        <w:t>sakit</w:t>
      </w:r>
      <w:proofErr w:type="spellEnd"/>
      <w:r w:rsidRPr="00405ECB">
        <w:rPr>
          <w:rFonts w:asciiTheme="majorHAnsi" w:hAnsiTheme="majorHAnsi" w:cstheme="majorHAnsi"/>
          <w:spacing w:val="-12"/>
          <w:sz w:val="24"/>
          <w:szCs w:val="24"/>
        </w:rPr>
        <w:t xml:space="preserve"> </w:t>
      </w:r>
      <w:proofErr w:type="spellStart"/>
      <w:r w:rsidRPr="00405ECB">
        <w:rPr>
          <w:rFonts w:asciiTheme="majorHAnsi" w:hAnsiTheme="majorHAnsi" w:cstheme="majorHAnsi"/>
          <w:sz w:val="24"/>
          <w:szCs w:val="24"/>
        </w:rPr>
        <w:t>kota</w:t>
      </w:r>
      <w:proofErr w:type="spellEnd"/>
      <w:r w:rsidRPr="00405ECB">
        <w:rPr>
          <w:rFonts w:asciiTheme="majorHAnsi" w:hAnsiTheme="majorHAnsi" w:cstheme="majorHAnsi"/>
          <w:spacing w:val="-13"/>
          <w:sz w:val="24"/>
          <w:szCs w:val="24"/>
        </w:rPr>
        <w:t xml:space="preserve"> </w:t>
      </w:r>
      <w:proofErr w:type="spellStart"/>
      <w:r w:rsidRPr="00405ECB">
        <w:rPr>
          <w:rFonts w:asciiTheme="majorHAnsi" w:hAnsiTheme="majorHAnsi" w:cstheme="majorHAnsi"/>
          <w:sz w:val="24"/>
          <w:szCs w:val="24"/>
        </w:rPr>
        <w:t>surabaya</w:t>
      </w:r>
      <w:proofErr w:type="spellEnd"/>
      <w:r w:rsidRPr="00405ECB">
        <w:rPr>
          <w:rFonts w:asciiTheme="majorHAnsi" w:hAnsiTheme="majorHAnsi" w:cstheme="majorHAnsi"/>
          <w:sz w:val="24"/>
          <w:szCs w:val="24"/>
        </w:rPr>
        <w:t>,”</w:t>
      </w:r>
      <w:r w:rsidRPr="00405ECB">
        <w:rPr>
          <w:rFonts w:asciiTheme="majorHAnsi" w:hAnsiTheme="majorHAnsi" w:cstheme="majorHAnsi"/>
          <w:spacing w:val="-57"/>
          <w:sz w:val="24"/>
          <w:szCs w:val="24"/>
        </w:rPr>
        <w:t xml:space="preserve"> </w:t>
      </w:r>
      <w:r w:rsidRPr="00405ECB">
        <w:rPr>
          <w:rFonts w:asciiTheme="majorHAnsi" w:hAnsiTheme="majorHAnsi" w:cstheme="majorHAnsi"/>
          <w:sz w:val="24"/>
          <w:szCs w:val="24"/>
        </w:rPr>
        <w:t>no.</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 xml:space="preserve">July, pp. 71–82, 2018, </w:t>
      </w:r>
      <w:proofErr w:type="spellStart"/>
      <w:r w:rsidRPr="00405ECB">
        <w:rPr>
          <w:rFonts w:asciiTheme="majorHAnsi" w:hAnsiTheme="majorHAnsi" w:cstheme="majorHAnsi"/>
          <w:sz w:val="24"/>
          <w:szCs w:val="24"/>
        </w:rPr>
        <w:t>doi</w:t>
      </w:r>
      <w:proofErr w:type="spellEnd"/>
      <w:r w:rsidRPr="00405ECB">
        <w:rPr>
          <w:rFonts w:asciiTheme="majorHAnsi" w:hAnsiTheme="majorHAnsi" w:cstheme="majorHAnsi"/>
          <w:sz w:val="24"/>
          <w:szCs w:val="24"/>
        </w:rPr>
        <w:t>: 10.20473/ijph.vl13il.2018.71-82.</w:t>
      </w:r>
    </w:p>
    <w:p w14:paraId="545D6C27" w14:textId="77777777" w:rsidR="00D15347" w:rsidRPr="00405ECB" w:rsidRDefault="00D15347" w:rsidP="00405ECB">
      <w:pPr>
        <w:tabs>
          <w:tab w:val="left" w:pos="284"/>
        </w:tabs>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z w:val="24"/>
          <w:szCs w:val="24"/>
        </w:rPr>
        <w:t xml:space="preserve">G. P. W. Indri </w:t>
      </w:r>
      <w:proofErr w:type="spellStart"/>
      <w:r w:rsidRPr="00405ECB">
        <w:rPr>
          <w:rFonts w:asciiTheme="majorHAnsi" w:hAnsiTheme="majorHAnsi" w:cstheme="majorHAnsi"/>
          <w:sz w:val="24"/>
          <w:szCs w:val="24"/>
        </w:rPr>
        <w:t>Grysela</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Karauwan</w:t>
      </w:r>
      <w:proofErr w:type="spellEnd"/>
      <w:r w:rsidRPr="00405ECB">
        <w:rPr>
          <w:rFonts w:asciiTheme="majorHAnsi" w:hAnsiTheme="majorHAnsi" w:cstheme="majorHAnsi"/>
          <w:sz w:val="24"/>
          <w:szCs w:val="24"/>
        </w:rPr>
        <w:t xml:space="preserve">, Janno B </w:t>
      </w:r>
      <w:proofErr w:type="spellStart"/>
      <w:r w:rsidRPr="00405ECB">
        <w:rPr>
          <w:rFonts w:asciiTheme="majorHAnsi" w:hAnsiTheme="majorHAnsi" w:cstheme="majorHAnsi"/>
          <w:sz w:val="24"/>
          <w:szCs w:val="24"/>
        </w:rPr>
        <w:t>B</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Bernadus</w:t>
      </w:r>
      <w:proofErr w:type="spellEnd"/>
      <w:r w:rsidRPr="00405ECB">
        <w:rPr>
          <w:rFonts w:asciiTheme="majorHAnsi" w:hAnsiTheme="majorHAnsi" w:cstheme="majorHAnsi"/>
          <w:sz w:val="24"/>
          <w:szCs w:val="24"/>
        </w:rPr>
        <w:t xml:space="preserve">, “Uji </w:t>
      </w:r>
      <w:proofErr w:type="spellStart"/>
      <w:r w:rsidRPr="00405ECB">
        <w:rPr>
          <w:rFonts w:asciiTheme="majorHAnsi" w:hAnsiTheme="majorHAnsi" w:cstheme="majorHAnsi"/>
          <w:sz w:val="24"/>
          <w:szCs w:val="24"/>
        </w:rPr>
        <w:t>Resistensi</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Nyamuk</w:t>
      </w:r>
      <w:proofErr w:type="spell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lastRenderedPageBreak/>
        <w:t>AEDES</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AEGYPTY</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DEWASA</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TERHADAP</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CYPERMETHRIN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DI</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DAERAH</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 xml:space="preserve">PASAR TUA BITUNG 2016,” </w:t>
      </w:r>
      <w:proofErr w:type="spellStart"/>
      <w:r w:rsidRPr="00405ECB">
        <w:rPr>
          <w:rFonts w:asciiTheme="majorHAnsi" w:hAnsiTheme="majorHAnsi" w:cstheme="majorHAnsi"/>
          <w:i/>
          <w:sz w:val="24"/>
          <w:szCs w:val="24"/>
        </w:rPr>
        <w:t>Kedokt</w:t>
      </w:r>
      <w:proofErr w:type="spellEnd"/>
      <w:r w:rsidRPr="00405ECB">
        <w:rPr>
          <w:rFonts w:asciiTheme="majorHAnsi" w:hAnsiTheme="majorHAnsi" w:cstheme="majorHAnsi"/>
          <w:i/>
          <w:sz w:val="24"/>
          <w:szCs w:val="24"/>
        </w:rPr>
        <w:t>. Klin.</w:t>
      </w:r>
      <w:r w:rsidRPr="00405ECB">
        <w:rPr>
          <w:rFonts w:asciiTheme="majorHAnsi" w:hAnsiTheme="majorHAnsi" w:cstheme="majorHAnsi"/>
          <w:sz w:val="24"/>
          <w:szCs w:val="24"/>
        </w:rPr>
        <w:t xml:space="preserve">, vol. 1, no. 3, pp. 42–46, 2017, </w:t>
      </w:r>
      <w:proofErr w:type="spellStart"/>
      <w:r w:rsidRPr="00405ECB">
        <w:rPr>
          <w:rFonts w:asciiTheme="majorHAnsi" w:hAnsiTheme="majorHAnsi" w:cstheme="majorHAnsi"/>
          <w:sz w:val="24"/>
          <w:szCs w:val="24"/>
        </w:rPr>
        <w:t>doi</w:t>
      </w:r>
      <w:proofErr w:type="spellEnd"/>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10.1109/E3S.2015.7336790.</w:t>
      </w:r>
    </w:p>
    <w:p w14:paraId="1F0AFD12"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z w:val="24"/>
          <w:szCs w:val="24"/>
        </w:rPr>
        <w:t xml:space="preserve">H. Nolia, “Faktor </w:t>
      </w:r>
      <w:proofErr w:type="spellStart"/>
      <w:r w:rsidRPr="00405ECB">
        <w:rPr>
          <w:rFonts w:asciiTheme="majorHAnsi" w:hAnsiTheme="majorHAnsi" w:cstheme="majorHAnsi"/>
          <w:sz w:val="24"/>
          <w:szCs w:val="24"/>
        </w:rPr>
        <w:t>Lingkungan</w:t>
      </w:r>
      <w:proofErr w:type="spellEnd"/>
      <w:r w:rsidRPr="00405ECB">
        <w:rPr>
          <w:rFonts w:asciiTheme="majorHAnsi" w:hAnsiTheme="majorHAnsi" w:cstheme="majorHAnsi"/>
          <w:sz w:val="24"/>
          <w:szCs w:val="24"/>
        </w:rPr>
        <w:t xml:space="preserve"> Dan </w:t>
      </w:r>
      <w:proofErr w:type="spellStart"/>
      <w:r w:rsidRPr="00405ECB">
        <w:rPr>
          <w:rFonts w:asciiTheme="majorHAnsi" w:hAnsiTheme="majorHAnsi" w:cstheme="majorHAnsi"/>
          <w:sz w:val="24"/>
          <w:szCs w:val="24"/>
        </w:rPr>
        <w:t>Kejadian</w:t>
      </w:r>
      <w:proofErr w:type="spellEnd"/>
      <w:r w:rsidRPr="00405ECB">
        <w:rPr>
          <w:rFonts w:asciiTheme="majorHAnsi" w:hAnsiTheme="majorHAnsi" w:cstheme="majorHAnsi"/>
          <w:sz w:val="24"/>
          <w:szCs w:val="24"/>
        </w:rPr>
        <w:t xml:space="preserve"> Demam </w:t>
      </w:r>
      <w:proofErr w:type="spellStart"/>
      <w:r w:rsidRPr="00405ECB">
        <w:rPr>
          <w:rFonts w:asciiTheme="majorHAnsi" w:hAnsiTheme="majorHAnsi" w:cstheme="majorHAnsi"/>
          <w:sz w:val="24"/>
          <w:szCs w:val="24"/>
        </w:rPr>
        <w:t>Berdarah</w:t>
      </w:r>
      <w:proofErr w:type="spellEnd"/>
      <w:r w:rsidRPr="00405ECB">
        <w:rPr>
          <w:rFonts w:asciiTheme="majorHAnsi" w:hAnsiTheme="majorHAnsi" w:cstheme="majorHAnsi"/>
          <w:sz w:val="24"/>
          <w:szCs w:val="24"/>
        </w:rPr>
        <w:t xml:space="preserve"> Dengue (</w:t>
      </w:r>
      <w:proofErr w:type="spellStart"/>
      <w:r w:rsidRPr="00405ECB">
        <w:rPr>
          <w:rFonts w:asciiTheme="majorHAnsi" w:hAnsiTheme="majorHAnsi" w:cstheme="majorHAnsi"/>
          <w:sz w:val="24"/>
          <w:szCs w:val="24"/>
        </w:rPr>
        <w:t>Dbd</w:t>
      </w:r>
      <w:proofErr w:type="spellEnd"/>
      <w:r w:rsidRPr="00405ECB">
        <w:rPr>
          <w:rFonts w:asciiTheme="majorHAnsi" w:hAnsiTheme="majorHAnsi" w:cstheme="majorHAnsi"/>
          <w:sz w:val="24"/>
          <w:szCs w:val="24"/>
        </w:rPr>
        <w:t>) Daerah</w:t>
      </w:r>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Endemis</w:t>
      </w:r>
      <w:proofErr w:type="spellEnd"/>
      <w:r w:rsidRPr="00405ECB">
        <w:rPr>
          <w:rFonts w:asciiTheme="majorHAnsi" w:hAnsiTheme="majorHAnsi" w:cstheme="majorHAnsi"/>
          <w:spacing w:val="-2"/>
          <w:sz w:val="24"/>
          <w:szCs w:val="24"/>
        </w:rPr>
        <w:t xml:space="preserve"> </w:t>
      </w:r>
      <w:proofErr w:type="spellStart"/>
      <w:r w:rsidRPr="00405ECB">
        <w:rPr>
          <w:rFonts w:asciiTheme="majorHAnsi" w:hAnsiTheme="majorHAnsi" w:cstheme="majorHAnsi"/>
          <w:sz w:val="24"/>
          <w:szCs w:val="24"/>
        </w:rPr>
        <w:t>Kecamatan</w:t>
      </w:r>
      <w:proofErr w:type="spellEnd"/>
      <w:r w:rsidRPr="00405ECB">
        <w:rPr>
          <w:rFonts w:asciiTheme="majorHAnsi" w:hAnsiTheme="majorHAnsi" w:cstheme="majorHAnsi"/>
          <w:sz w:val="24"/>
          <w:szCs w:val="24"/>
        </w:rPr>
        <w:t xml:space="preserve"> Gading</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Cempaka</w:t>
      </w:r>
      <w:r w:rsidRPr="00405ECB">
        <w:rPr>
          <w:rFonts w:asciiTheme="majorHAnsi" w:hAnsiTheme="majorHAnsi" w:cstheme="majorHAnsi"/>
          <w:spacing w:val="-2"/>
          <w:sz w:val="24"/>
          <w:szCs w:val="24"/>
        </w:rPr>
        <w:t xml:space="preserve"> </w:t>
      </w:r>
      <w:r w:rsidRPr="00405ECB">
        <w:rPr>
          <w:rFonts w:asciiTheme="majorHAnsi" w:hAnsiTheme="majorHAnsi" w:cstheme="majorHAnsi"/>
          <w:sz w:val="24"/>
          <w:szCs w:val="24"/>
        </w:rPr>
        <w:t>Kota</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Bengkulu</w:t>
      </w:r>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Tahun</w:t>
      </w:r>
      <w:proofErr w:type="spellEnd"/>
      <w:r w:rsidRPr="00405ECB">
        <w:rPr>
          <w:rFonts w:asciiTheme="majorHAnsi" w:hAnsiTheme="majorHAnsi" w:cstheme="majorHAnsi"/>
          <w:sz w:val="24"/>
          <w:szCs w:val="24"/>
        </w:rPr>
        <w:t xml:space="preserve"> 2012,”</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2013.</w:t>
      </w:r>
    </w:p>
    <w:p w14:paraId="039B5A68" w14:textId="77777777" w:rsidR="00D15347" w:rsidRPr="00405ECB" w:rsidRDefault="00D15347" w:rsidP="00405ECB">
      <w:pPr>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Kusuma, A. P. and Sukendra, D. M. (2016) ‘Analisis Spasial Kejadian Demam Berdarah Dengue Berdasarkan Kepadatan Penduduk’, </w:t>
      </w:r>
      <w:r w:rsidRPr="00405ECB">
        <w:rPr>
          <w:rFonts w:asciiTheme="majorHAnsi" w:hAnsiTheme="majorHAnsi" w:cstheme="majorHAnsi"/>
          <w:i/>
          <w:iCs/>
          <w:noProof/>
          <w:sz w:val="24"/>
          <w:szCs w:val="24"/>
        </w:rPr>
        <w:t>Unnes Journal of Public Health</w:t>
      </w:r>
      <w:r w:rsidRPr="00405ECB">
        <w:rPr>
          <w:rFonts w:asciiTheme="majorHAnsi" w:hAnsiTheme="majorHAnsi" w:cstheme="majorHAnsi"/>
          <w:noProof/>
          <w:sz w:val="24"/>
          <w:szCs w:val="24"/>
        </w:rPr>
        <w:t>, 5(1), p. 48. doi: 10.15294/ujph.v5i1.9703.</w:t>
      </w:r>
    </w:p>
    <w:p w14:paraId="79E80A77"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proofErr w:type="spellStart"/>
      <w:r w:rsidRPr="00405ECB">
        <w:rPr>
          <w:rFonts w:asciiTheme="majorHAnsi" w:hAnsiTheme="majorHAnsi" w:cstheme="majorHAnsi"/>
          <w:sz w:val="24"/>
          <w:szCs w:val="24"/>
        </w:rPr>
        <w:t>Kemenkes</w:t>
      </w:r>
      <w:proofErr w:type="spellEnd"/>
      <w:r w:rsidRPr="00405ECB">
        <w:rPr>
          <w:rFonts w:asciiTheme="majorHAnsi" w:hAnsiTheme="majorHAnsi" w:cstheme="majorHAnsi"/>
          <w:sz w:val="24"/>
          <w:szCs w:val="24"/>
        </w:rPr>
        <w:t>,</w:t>
      </w:r>
      <w:r w:rsidRPr="00405ECB">
        <w:rPr>
          <w:rFonts w:asciiTheme="majorHAnsi" w:hAnsiTheme="majorHAnsi" w:cstheme="majorHAnsi"/>
          <w:spacing w:val="-3"/>
          <w:sz w:val="24"/>
          <w:szCs w:val="24"/>
        </w:rPr>
        <w:t xml:space="preserve"> </w:t>
      </w:r>
      <w:r w:rsidRPr="00405ECB">
        <w:rPr>
          <w:rFonts w:asciiTheme="majorHAnsi" w:hAnsiTheme="majorHAnsi" w:cstheme="majorHAnsi"/>
          <w:sz w:val="24"/>
          <w:szCs w:val="24"/>
        </w:rPr>
        <w:t>“</w:t>
      </w:r>
      <w:proofErr w:type="spellStart"/>
      <w:r w:rsidRPr="00405ECB">
        <w:rPr>
          <w:rFonts w:asciiTheme="majorHAnsi" w:hAnsiTheme="majorHAnsi" w:cstheme="majorHAnsi"/>
          <w:sz w:val="24"/>
          <w:szCs w:val="24"/>
        </w:rPr>
        <w:t>Validasi</w:t>
      </w:r>
      <w:proofErr w:type="spellEnd"/>
      <w:r w:rsidRPr="00405ECB">
        <w:rPr>
          <w:rFonts w:asciiTheme="majorHAnsi" w:hAnsiTheme="majorHAnsi" w:cstheme="majorHAnsi"/>
          <w:spacing w:val="-3"/>
          <w:sz w:val="24"/>
          <w:szCs w:val="24"/>
        </w:rPr>
        <w:t xml:space="preserve"> </w:t>
      </w:r>
      <w:r w:rsidRPr="00405ECB">
        <w:rPr>
          <w:rFonts w:asciiTheme="majorHAnsi" w:hAnsiTheme="majorHAnsi" w:cstheme="majorHAnsi"/>
          <w:sz w:val="24"/>
          <w:szCs w:val="24"/>
        </w:rPr>
        <w:t>Data,”</w:t>
      </w:r>
      <w:r w:rsidRPr="00405ECB">
        <w:rPr>
          <w:rFonts w:asciiTheme="majorHAnsi" w:hAnsiTheme="majorHAnsi" w:cstheme="majorHAnsi"/>
          <w:spacing w:val="-3"/>
          <w:sz w:val="24"/>
          <w:szCs w:val="24"/>
        </w:rPr>
        <w:t xml:space="preserve"> </w:t>
      </w:r>
      <w:r w:rsidRPr="00405ECB">
        <w:rPr>
          <w:rFonts w:asciiTheme="majorHAnsi" w:hAnsiTheme="majorHAnsi" w:cstheme="majorHAnsi"/>
          <w:sz w:val="24"/>
          <w:szCs w:val="24"/>
        </w:rPr>
        <w:t>no.</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1,</w:t>
      </w:r>
      <w:r w:rsidRPr="00405ECB">
        <w:rPr>
          <w:rFonts w:asciiTheme="majorHAnsi" w:hAnsiTheme="majorHAnsi" w:cstheme="majorHAnsi"/>
          <w:spacing w:val="-2"/>
          <w:sz w:val="24"/>
          <w:szCs w:val="24"/>
        </w:rPr>
        <w:t xml:space="preserve"> </w:t>
      </w:r>
      <w:r w:rsidRPr="00405ECB">
        <w:rPr>
          <w:rFonts w:asciiTheme="majorHAnsi" w:hAnsiTheme="majorHAnsi" w:cstheme="majorHAnsi"/>
          <w:sz w:val="24"/>
          <w:szCs w:val="24"/>
        </w:rPr>
        <w:t>2022.</w:t>
      </w:r>
    </w:p>
    <w:p w14:paraId="55E66A65"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z w:val="24"/>
          <w:szCs w:val="24"/>
        </w:rPr>
        <w:t>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Halimah,</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w:t>
      </w:r>
      <w:proofErr w:type="spellStart"/>
      <w:r w:rsidRPr="00405ECB">
        <w:rPr>
          <w:rFonts w:asciiTheme="majorHAnsi" w:hAnsiTheme="majorHAnsi" w:cstheme="majorHAnsi"/>
          <w:sz w:val="24"/>
          <w:szCs w:val="24"/>
        </w:rPr>
        <w:t>Proyeksi</w:t>
      </w:r>
      <w:proofErr w:type="spell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dan</w:t>
      </w:r>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Pemetaan</w:t>
      </w:r>
      <w:proofErr w:type="spell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Wilayah</w:t>
      </w:r>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Sebaran</w:t>
      </w:r>
      <w:proofErr w:type="spell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Balita</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Stunting</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Di</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Kota</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Makassar</w:t>
      </w:r>
      <w:r w:rsidRPr="00405ECB">
        <w:rPr>
          <w:rFonts w:asciiTheme="majorHAnsi" w:hAnsiTheme="majorHAnsi" w:cstheme="majorHAnsi"/>
          <w:spacing w:val="-5"/>
          <w:sz w:val="24"/>
          <w:szCs w:val="24"/>
        </w:rPr>
        <w:t xml:space="preserve"> </w:t>
      </w:r>
      <w:proofErr w:type="spellStart"/>
      <w:r w:rsidRPr="00405ECB">
        <w:rPr>
          <w:rFonts w:asciiTheme="majorHAnsi" w:hAnsiTheme="majorHAnsi" w:cstheme="majorHAnsi"/>
          <w:sz w:val="24"/>
          <w:szCs w:val="24"/>
        </w:rPr>
        <w:t>Berbasis</w:t>
      </w:r>
      <w:proofErr w:type="spellEnd"/>
      <w:r w:rsidRPr="00405ECB">
        <w:rPr>
          <w:rFonts w:asciiTheme="majorHAnsi" w:hAnsiTheme="majorHAnsi" w:cstheme="majorHAnsi"/>
          <w:spacing w:val="-3"/>
          <w:sz w:val="24"/>
          <w:szCs w:val="24"/>
        </w:rPr>
        <w:t xml:space="preserve"> </w:t>
      </w:r>
      <w:proofErr w:type="spellStart"/>
      <w:r w:rsidRPr="00405ECB">
        <w:rPr>
          <w:rFonts w:asciiTheme="majorHAnsi" w:hAnsiTheme="majorHAnsi" w:cstheme="majorHAnsi"/>
          <w:sz w:val="24"/>
          <w:szCs w:val="24"/>
        </w:rPr>
        <w:t>Sistem</w:t>
      </w:r>
      <w:proofErr w:type="spellEnd"/>
      <w:r w:rsidRPr="00405ECB">
        <w:rPr>
          <w:rFonts w:asciiTheme="majorHAnsi" w:hAnsiTheme="majorHAnsi" w:cstheme="majorHAnsi"/>
          <w:spacing w:val="-3"/>
          <w:sz w:val="24"/>
          <w:szCs w:val="24"/>
        </w:rPr>
        <w:t xml:space="preserve"> </w:t>
      </w:r>
      <w:proofErr w:type="spellStart"/>
      <w:r w:rsidRPr="00405ECB">
        <w:rPr>
          <w:rFonts w:asciiTheme="majorHAnsi" w:hAnsiTheme="majorHAnsi" w:cstheme="majorHAnsi"/>
          <w:sz w:val="24"/>
          <w:szCs w:val="24"/>
        </w:rPr>
        <w:t>Informasi</w:t>
      </w:r>
      <w:proofErr w:type="spellEnd"/>
      <w:r w:rsidRPr="00405ECB">
        <w:rPr>
          <w:rFonts w:asciiTheme="majorHAnsi" w:hAnsiTheme="majorHAnsi" w:cstheme="majorHAnsi"/>
          <w:spacing w:val="-4"/>
          <w:sz w:val="24"/>
          <w:szCs w:val="24"/>
        </w:rPr>
        <w:t xml:space="preserve"> </w:t>
      </w:r>
      <w:proofErr w:type="spellStart"/>
      <w:r w:rsidRPr="00405ECB">
        <w:rPr>
          <w:rFonts w:asciiTheme="majorHAnsi" w:hAnsiTheme="majorHAnsi" w:cstheme="majorHAnsi"/>
          <w:sz w:val="24"/>
          <w:szCs w:val="24"/>
        </w:rPr>
        <w:t>Geografi</w:t>
      </w:r>
      <w:proofErr w:type="spellEnd"/>
      <w:r w:rsidRPr="00405ECB">
        <w:rPr>
          <w:rFonts w:asciiTheme="majorHAnsi" w:hAnsiTheme="majorHAnsi" w:cstheme="majorHAnsi"/>
          <w:sz w:val="24"/>
          <w:szCs w:val="24"/>
        </w:rPr>
        <w:t xml:space="preserve"> </w:t>
      </w:r>
      <w:proofErr w:type="gramStart"/>
      <w:r w:rsidRPr="00405ECB">
        <w:rPr>
          <w:rFonts w:asciiTheme="majorHAnsi" w:hAnsiTheme="majorHAnsi" w:cstheme="majorHAnsi"/>
          <w:sz w:val="24"/>
          <w:szCs w:val="24"/>
        </w:rPr>
        <w:t>(</w:t>
      </w:r>
      <w:r w:rsidRPr="00405ECB">
        <w:rPr>
          <w:rFonts w:asciiTheme="majorHAnsi" w:hAnsiTheme="majorHAnsi" w:cstheme="majorHAnsi"/>
          <w:spacing w:val="-5"/>
          <w:sz w:val="24"/>
          <w:szCs w:val="24"/>
        </w:rPr>
        <w:t xml:space="preserve"> </w:t>
      </w:r>
      <w:r w:rsidRPr="00405ECB">
        <w:rPr>
          <w:rFonts w:asciiTheme="majorHAnsi" w:hAnsiTheme="majorHAnsi" w:cstheme="majorHAnsi"/>
          <w:sz w:val="24"/>
          <w:szCs w:val="24"/>
        </w:rPr>
        <w:t>SIG</w:t>
      </w:r>
      <w:proofErr w:type="gramEnd"/>
      <w:r w:rsidRPr="00405ECB">
        <w:rPr>
          <w:rFonts w:asciiTheme="majorHAnsi" w:hAnsiTheme="majorHAnsi" w:cstheme="majorHAnsi"/>
          <w:spacing w:val="-5"/>
          <w:sz w:val="24"/>
          <w:szCs w:val="24"/>
        </w:rPr>
        <w:t xml:space="preserve"> </w:t>
      </w:r>
      <w:r w:rsidRPr="00405ECB">
        <w:rPr>
          <w:rFonts w:asciiTheme="majorHAnsi" w:hAnsiTheme="majorHAnsi" w:cstheme="majorHAnsi"/>
          <w:sz w:val="24"/>
          <w:szCs w:val="24"/>
        </w:rPr>
        <w:t>)</w:t>
      </w:r>
      <w:r w:rsidRPr="00405ECB">
        <w:rPr>
          <w:rFonts w:asciiTheme="majorHAnsi" w:hAnsiTheme="majorHAnsi" w:cstheme="majorHAnsi"/>
          <w:spacing w:val="-5"/>
          <w:sz w:val="24"/>
          <w:szCs w:val="24"/>
        </w:rPr>
        <w:t xml:space="preserve"> </w:t>
      </w:r>
      <w:r w:rsidRPr="00405ECB">
        <w:rPr>
          <w:rFonts w:asciiTheme="majorHAnsi" w:hAnsiTheme="majorHAnsi" w:cstheme="majorHAnsi"/>
          <w:sz w:val="24"/>
          <w:szCs w:val="24"/>
        </w:rPr>
        <w:t>Projection</w:t>
      </w:r>
      <w:r w:rsidRPr="00405ECB">
        <w:rPr>
          <w:rFonts w:asciiTheme="majorHAnsi" w:hAnsiTheme="majorHAnsi" w:cstheme="majorHAnsi"/>
          <w:spacing w:val="-3"/>
          <w:sz w:val="24"/>
          <w:szCs w:val="24"/>
        </w:rPr>
        <w:t xml:space="preserve"> </w:t>
      </w:r>
      <w:r w:rsidRPr="00405ECB">
        <w:rPr>
          <w:rFonts w:asciiTheme="majorHAnsi" w:hAnsiTheme="majorHAnsi" w:cstheme="majorHAnsi"/>
          <w:sz w:val="24"/>
          <w:szCs w:val="24"/>
        </w:rPr>
        <w:t>and</w:t>
      </w:r>
      <w:r w:rsidRPr="00405ECB">
        <w:rPr>
          <w:rFonts w:asciiTheme="majorHAnsi" w:hAnsiTheme="majorHAnsi" w:cstheme="majorHAnsi"/>
          <w:spacing w:val="-4"/>
          <w:sz w:val="24"/>
          <w:szCs w:val="24"/>
        </w:rPr>
        <w:t xml:space="preserve"> </w:t>
      </w:r>
      <w:r w:rsidRPr="00405ECB">
        <w:rPr>
          <w:rFonts w:asciiTheme="majorHAnsi" w:hAnsiTheme="majorHAnsi" w:cstheme="majorHAnsi"/>
          <w:sz w:val="24"/>
          <w:szCs w:val="24"/>
        </w:rPr>
        <w:t>Mapping</w:t>
      </w:r>
      <w:r w:rsidRPr="00405ECB">
        <w:rPr>
          <w:rFonts w:asciiTheme="majorHAnsi" w:hAnsiTheme="majorHAnsi" w:cstheme="majorHAnsi"/>
          <w:spacing w:val="-3"/>
          <w:sz w:val="24"/>
          <w:szCs w:val="24"/>
        </w:rPr>
        <w:t xml:space="preserve"> </w:t>
      </w:r>
      <w:r w:rsidRPr="00405ECB">
        <w:rPr>
          <w:rFonts w:asciiTheme="majorHAnsi" w:hAnsiTheme="majorHAnsi" w:cstheme="majorHAnsi"/>
          <w:sz w:val="24"/>
          <w:szCs w:val="24"/>
        </w:rPr>
        <w:t>Areas</w:t>
      </w:r>
      <w:r w:rsidRPr="00405ECB">
        <w:rPr>
          <w:rFonts w:asciiTheme="majorHAnsi" w:hAnsiTheme="majorHAnsi" w:cstheme="majorHAnsi"/>
          <w:spacing w:val="-4"/>
          <w:sz w:val="24"/>
          <w:szCs w:val="24"/>
        </w:rPr>
        <w:t xml:space="preserve"> </w:t>
      </w:r>
      <w:r w:rsidRPr="00405ECB">
        <w:rPr>
          <w:rFonts w:asciiTheme="majorHAnsi" w:hAnsiTheme="majorHAnsi" w:cstheme="majorHAnsi"/>
          <w:sz w:val="24"/>
          <w:szCs w:val="24"/>
        </w:rPr>
        <w:t>of</w:t>
      </w:r>
      <w:r w:rsidRPr="00405ECB">
        <w:rPr>
          <w:rFonts w:asciiTheme="majorHAnsi" w:hAnsiTheme="majorHAnsi" w:cstheme="majorHAnsi"/>
          <w:spacing w:val="-57"/>
          <w:sz w:val="24"/>
          <w:szCs w:val="24"/>
        </w:rPr>
        <w:t xml:space="preserve"> </w:t>
      </w:r>
      <w:r w:rsidRPr="00405ECB">
        <w:rPr>
          <w:rFonts w:asciiTheme="majorHAnsi" w:hAnsiTheme="majorHAnsi" w:cstheme="majorHAnsi"/>
          <w:sz w:val="24"/>
          <w:szCs w:val="24"/>
        </w:rPr>
        <w:t>Distribution of Stunting Children in Makassar City Based on Geographic Information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 xml:space="preserve">System ( GIS ),” </w:t>
      </w:r>
      <w:proofErr w:type="spellStart"/>
      <w:r w:rsidRPr="00405ECB">
        <w:rPr>
          <w:rFonts w:asciiTheme="majorHAnsi" w:hAnsiTheme="majorHAnsi" w:cstheme="majorHAnsi"/>
          <w:i/>
          <w:sz w:val="24"/>
          <w:szCs w:val="24"/>
        </w:rPr>
        <w:t>Jurnal.Unismuhpalu.Ac.Id</w:t>
      </w:r>
      <w:proofErr w:type="spellEnd"/>
      <w:r w:rsidRPr="00405ECB">
        <w:rPr>
          <w:rFonts w:asciiTheme="majorHAnsi" w:hAnsiTheme="majorHAnsi" w:cstheme="majorHAnsi"/>
          <w:sz w:val="24"/>
          <w:szCs w:val="24"/>
        </w:rPr>
        <w:t>, vol. 10, pp. 173–184, 2020, [Online].</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Available:</w:t>
      </w:r>
      <w:r w:rsidRPr="00405ECB">
        <w:rPr>
          <w:rFonts w:asciiTheme="majorHAnsi" w:hAnsiTheme="majorHAnsi" w:cstheme="majorHAnsi"/>
          <w:spacing w:val="-1"/>
          <w:sz w:val="24"/>
          <w:szCs w:val="24"/>
        </w:rPr>
        <w:t xml:space="preserve"> </w:t>
      </w:r>
      <w:hyperlink r:id="rId23">
        <w:r w:rsidRPr="00405ECB">
          <w:rPr>
            <w:rFonts w:asciiTheme="majorHAnsi" w:hAnsiTheme="majorHAnsi" w:cstheme="majorHAnsi"/>
            <w:sz w:val="24"/>
            <w:szCs w:val="24"/>
          </w:rPr>
          <w:t>http://jurnal.unismuhpalu.ac.id/index.php/PJKM/article/view/1371.</w:t>
        </w:r>
      </w:hyperlink>
    </w:p>
    <w:p w14:paraId="038C8594"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z w:val="24"/>
          <w:szCs w:val="24"/>
        </w:rPr>
        <w:t>N. Irawati, “RESISTENSI NYAMUK Aedes aegypti TERHADAP CYPERMETHRIN</w:t>
      </w:r>
      <w:r w:rsidRPr="00405ECB">
        <w:rPr>
          <w:rFonts w:asciiTheme="majorHAnsi" w:hAnsiTheme="majorHAnsi" w:cstheme="majorHAnsi"/>
          <w:spacing w:val="-57"/>
          <w:sz w:val="24"/>
          <w:szCs w:val="24"/>
        </w:rPr>
        <w:t xml:space="preserve"> </w:t>
      </w:r>
      <w:r w:rsidRPr="00405ECB">
        <w:rPr>
          <w:rFonts w:asciiTheme="majorHAnsi" w:hAnsiTheme="majorHAnsi" w:cstheme="majorHAnsi"/>
          <w:sz w:val="24"/>
          <w:szCs w:val="24"/>
        </w:rPr>
        <w:t>DI</w:t>
      </w:r>
      <w:r w:rsidRPr="00405ECB">
        <w:rPr>
          <w:rFonts w:asciiTheme="majorHAnsi" w:hAnsiTheme="majorHAnsi" w:cstheme="majorHAnsi"/>
          <w:spacing w:val="-5"/>
          <w:sz w:val="24"/>
          <w:szCs w:val="24"/>
        </w:rPr>
        <w:t xml:space="preserve"> </w:t>
      </w:r>
      <w:r w:rsidRPr="00405ECB">
        <w:rPr>
          <w:rFonts w:asciiTheme="majorHAnsi" w:hAnsiTheme="majorHAnsi" w:cstheme="majorHAnsi"/>
          <w:sz w:val="24"/>
          <w:szCs w:val="24"/>
        </w:rPr>
        <w:t>KABUPATEN</w:t>
      </w:r>
      <w:r w:rsidRPr="00405ECB">
        <w:rPr>
          <w:rFonts w:asciiTheme="majorHAnsi" w:hAnsiTheme="majorHAnsi" w:cstheme="majorHAnsi"/>
          <w:spacing w:val="-1"/>
          <w:sz w:val="24"/>
          <w:szCs w:val="24"/>
        </w:rPr>
        <w:t xml:space="preserve"> </w:t>
      </w:r>
      <w:proofErr w:type="gramStart"/>
      <w:r w:rsidRPr="00405ECB">
        <w:rPr>
          <w:rFonts w:asciiTheme="majorHAnsi" w:hAnsiTheme="majorHAnsi" w:cstheme="majorHAnsi"/>
          <w:sz w:val="24"/>
          <w:szCs w:val="24"/>
        </w:rPr>
        <w:t>KLATEN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w:t>
      </w:r>
      <w:proofErr w:type="gram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JAWA</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TENGAH,”</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vol.</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15, no. 1, pp. 1–7, 2021.</w:t>
      </w:r>
    </w:p>
    <w:p w14:paraId="40ED2CEC"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z w:val="24"/>
          <w:szCs w:val="24"/>
        </w:rPr>
        <w:t>O. Lesmana</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and R. Halim, “Gambaran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 xml:space="preserve">Tingkat </w:t>
      </w:r>
      <w:proofErr w:type="spellStart"/>
      <w:r w:rsidRPr="00405ECB">
        <w:rPr>
          <w:rFonts w:asciiTheme="majorHAnsi" w:hAnsiTheme="majorHAnsi" w:cstheme="majorHAnsi"/>
          <w:sz w:val="24"/>
          <w:szCs w:val="24"/>
        </w:rPr>
        <w:t>Kepadatan</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Jentik</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Nyamuk</w:t>
      </w:r>
      <w:proofErr w:type="spellEnd"/>
      <w:r w:rsidRPr="00405ECB">
        <w:rPr>
          <w:rFonts w:asciiTheme="majorHAnsi" w:hAnsiTheme="majorHAnsi" w:cstheme="majorHAnsi"/>
          <w:sz w:val="24"/>
          <w:szCs w:val="24"/>
        </w:rPr>
        <w:t xml:space="preserve"> Aedes</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 xml:space="preserve">Aegypti di </w:t>
      </w:r>
      <w:proofErr w:type="spellStart"/>
      <w:r w:rsidRPr="00405ECB">
        <w:rPr>
          <w:rFonts w:asciiTheme="majorHAnsi" w:hAnsiTheme="majorHAnsi" w:cstheme="majorHAnsi"/>
          <w:sz w:val="24"/>
          <w:szCs w:val="24"/>
        </w:rPr>
        <w:t>Kelurahan</w:t>
      </w:r>
      <w:proofErr w:type="spellEnd"/>
      <w:r w:rsidRPr="00405ECB">
        <w:rPr>
          <w:rFonts w:asciiTheme="majorHAnsi" w:hAnsiTheme="majorHAnsi" w:cstheme="majorHAnsi"/>
          <w:sz w:val="24"/>
          <w:szCs w:val="24"/>
        </w:rPr>
        <w:t xml:space="preserve"> Kenali Asam Bawah Kota Jambi.,” </w:t>
      </w:r>
      <w:r w:rsidRPr="00405ECB">
        <w:rPr>
          <w:rFonts w:asciiTheme="majorHAnsi" w:hAnsiTheme="majorHAnsi" w:cstheme="majorHAnsi"/>
          <w:i/>
          <w:sz w:val="24"/>
          <w:szCs w:val="24"/>
        </w:rPr>
        <w:t xml:space="preserve">J. </w:t>
      </w:r>
      <w:proofErr w:type="spellStart"/>
      <w:r w:rsidRPr="00405ECB">
        <w:rPr>
          <w:rFonts w:asciiTheme="majorHAnsi" w:hAnsiTheme="majorHAnsi" w:cstheme="majorHAnsi"/>
          <w:i/>
          <w:sz w:val="24"/>
          <w:szCs w:val="24"/>
        </w:rPr>
        <w:t>Kesmas</w:t>
      </w:r>
      <w:proofErr w:type="spellEnd"/>
      <w:r w:rsidRPr="00405ECB">
        <w:rPr>
          <w:rFonts w:asciiTheme="majorHAnsi" w:hAnsiTheme="majorHAnsi" w:cstheme="majorHAnsi"/>
          <w:i/>
          <w:sz w:val="24"/>
          <w:szCs w:val="24"/>
        </w:rPr>
        <w:t xml:space="preserve"> Jambi</w:t>
      </w:r>
      <w:r w:rsidRPr="00405ECB">
        <w:rPr>
          <w:rFonts w:asciiTheme="majorHAnsi" w:hAnsiTheme="majorHAnsi" w:cstheme="majorHAnsi"/>
          <w:sz w:val="24"/>
          <w:szCs w:val="24"/>
        </w:rPr>
        <w:t>, vol. 4, no.</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2,</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 xml:space="preserve">pp. 59–69, 2020, </w:t>
      </w:r>
      <w:proofErr w:type="spellStart"/>
      <w:r w:rsidRPr="00405ECB">
        <w:rPr>
          <w:rFonts w:asciiTheme="majorHAnsi" w:hAnsiTheme="majorHAnsi" w:cstheme="majorHAnsi"/>
          <w:sz w:val="24"/>
          <w:szCs w:val="24"/>
        </w:rPr>
        <w:t>doi</w:t>
      </w:r>
      <w:proofErr w:type="spellEnd"/>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10.22437/</w:t>
      </w:r>
      <w:proofErr w:type="gramStart"/>
      <w:r w:rsidRPr="00405ECB">
        <w:rPr>
          <w:rFonts w:asciiTheme="majorHAnsi" w:hAnsiTheme="majorHAnsi" w:cstheme="majorHAnsi"/>
          <w:sz w:val="24"/>
          <w:szCs w:val="24"/>
        </w:rPr>
        <w:t>jkmj.v</w:t>
      </w:r>
      <w:proofErr w:type="gramEnd"/>
      <w:r w:rsidRPr="00405ECB">
        <w:rPr>
          <w:rFonts w:asciiTheme="majorHAnsi" w:hAnsiTheme="majorHAnsi" w:cstheme="majorHAnsi"/>
          <w:sz w:val="24"/>
          <w:szCs w:val="24"/>
        </w:rPr>
        <w:t>4i2.10571.</w:t>
      </w:r>
    </w:p>
    <w:p w14:paraId="65E12F60"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proofErr w:type="spellStart"/>
      <w:r w:rsidRPr="00405ECB">
        <w:rPr>
          <w:rFonts w:asciiTheme="majorHAnsi" w:hAnsiTheme="majorHAnsi" w:cstheme="majorHAnsi"/>
          <w:sz w:val="24"/>
          <w:szCs w:val="24"/>
        </w:rPr>
        <w:t>Profil</w:t>
      </w:r>
      <w:proofErr w:type="spellEnd"/>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Dinkes</w:t>
      </w:r>
      <w:proofErr w:type="spellEnd"/>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Kab.Deli</w:t>
      </w:r>
      <w:proofErr w:type="spell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Serdang,</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“PROFIL</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DINAS</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KESEHATAN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KAB.DELI</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SERDANG,”</w:t>
      </w:r>
      <w:r w:rsidRPr="00405ECB">
        <w:rPr>
          <w:rFonts w:asciiTheme="majorHAnsi" w:hAnsiTheme="majorHAnsi" w:cstheme="majorHAnsi"/>
          <w:spacing w:val="-3"/>
          <w:sz w:val="24"/>
          <w:szCs w:val="24"/>
        </w:rPr>
        <w:t xml:space="preserve"> </w:t>
      </w:r>
      <w:r w:rsidRPr="00405ECB">
        <w:rPr>
          <w:rFonts w:asciiTheme="majorHAnsi" w:hAnsiTheme="majorHAnsi" w:cstheme="majorHAnsi"/>
          <w:sz w:val="24"/>
          <w:szCs w:val="24"/>
        </w:rPr>
        <w:t>no.</w:t>
      </w:r>
      <w:r w:rsidRPr="00405ECB">
        <w:rPr>
          <w:rFonts w:asciiTheme="majorHAnsi" w:hAnsiTheme="majorHAnsi" w:cstheme="majorHAnsi"/>
          <w:spacing w:val="2"/>
          <w:sz w:val="24"/>
          <w:szCs w:val="24"/>
        </w:rPr>
        <w:t xml:space="preserve"> </w:t>
      </w:r>
      <w:r w:rsidRPr="00405ECB">
        <w:rPr>
          <w:rFonts w:asciiTheme="majorHAnsi" w:hAnsiTheme="majorHAnsi" w:cstheme="majorHAnsi"/>
          <w:sz w:val="24"/>
          <w:szCs w:val="24"/>
        </w:rPr>
        <w:t>I, 2022.</w:t>
      </w:r>
    </w:p>
    <w:p w14:paraId="0AE36752"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z w:val="24"/>
          <w:szCs w:val="24"/>
        </w:rPr>
        <w:t xml:space="preserve">R. Tanjung, E. L. </w:t>
      </w:r>
      <w:proofErr w:type="spellStart"/>
      <w:r w:rsidRPr="00405ECB">
        <w:rPr>
          <w:rFonts w:asciiTheme="majorHAnsi" w:hAnsiTheme="majorHAnsi" w:cstheme="majorHAnsi"/>
          <w:sz w:val="24"/>
          <w:szCs w:val="24"/>
        </w:rPr>
        <w:t>Mahyuni</w:t>
      </w:r>
      <w:proofErr w:type="spellEnd"/>
      <w:r w:rsidRPr="00405ECB">
        <w:rPr>
          <w:rFonts w:asciiTheme="majorHAnsi" w:hAnsiTheme="majorHAnsi" w:cstheme="majorHAnsi"/>
          <w:sz w:val="24"/>
          <w:szCs w:val="24"/>
        </w:rPr>
        <w:t xml:space="preserve">, N. Tanjung, O. S. </w:t>
      </w:r>
      <w:proofErr w:type="spellStart"/>
      <w:r w:rsidRPr="00405ECB">
        <w:rPr>
          <w:rFonts w:asciiTheme="majorHAnsi" w:hAnsiTheme="majorHAnsi" w:cstheme="majorHAnsi"/>
          <w:sz w:val="24"/>
          <w:szCs w:val="24"/>
        </w:rPr>
        <w:t>Simarmata</w:t>
      </w:r>
      <w:proofErr w:type="spellEnd"/>
      <w:r w:rsidRPr="00405ECB">
        <w:rPr>
          <w:rFonts w:asciiTheme="majorHAnsi" w:hAnsiTheme="majorHAnsi" w:cstheme="majorHAnsi"/>
          <w:sz w:val="24"/>
          <w:szCs w:val="24"/>
        </w:rPr>
        <w:t>, J. Sinaga, and H. R. Nolia,</w:t>
      </w:r>
      <w:r w:rsidRPr="00405ECB">
        <w:rPr>
          <w:rFonts w:asciiTheme="majorHAnsi" w:hAnsiTheme="majorHAnsi" w:cstheme="majorHAnsi"/>
          <w:spacing w:val="1"/>
          <w:sz w:val="24"/>
          <w:szCs w:val="24"/>
        </w:rPr>
        <w:t xml:space="preserve"> </w:t>
      </w:r>
      <w:r w:rsidRPr="00405ECB">
        <w:rPr>
          <w:rFonts w:asciiTheme="majorHAnsi" w:hAnsiTheme="majorHAnsi" w:cstheme="majorHAnsi"/>
          <w:spacing w:val="-1"/>
          <w:sz w:val="24"/>
          <w:szCs w:val="24"/>
        </w:rPr>
        <w:t>“The</w:t>
      </w:r>
      <w:r w:rsidRPr="00405ECB">
        <w:rPr>
          <w:rFonts w:asciiTheme="majorHAnsi" w:hAnsiTheme="majorHAnsi" w:cstheme="majorHAnsi"/>
          <w:spacing w:val="-14"/>
          <w:sz w:val="24"/>
          <w:szCs w:val="24"/>
        </w:rPr>
        <w:t xml:space="preserve"> </w:t>
      </w:r>
      <w:r w:rsidRPr="00405ECB">
        <w:rPr>
          <w:rFonts w:asciiTheme="majorHAnsi" w:hAnsiTheme="majorHAnsi" w:cstheme="majorHAnsi"/>
          <w:spacing w:val="-1"/>
          <w:sz w:val="24"/>
          <w:szCs w:val="24"/>
        </w:rPr>
        <w:t>spatial</w:t>
      </w:r>
      <w:r w:rsidRPr="00405ECB">
        <w:rPr>
          <w:rFonts w:asciiTheme="majorHAnsi" w:hAnsiTheme="majorHAnsi" w:cstheme="majorHAnsi"/>
          <w:spacing w:val="-11"/>
          <w:sz w:val="24"/>
          <w:szCs w:val="24"/>
        </w:rPr>
        <w:t xml:space="preserve"> </w:t>
      </w:r>
      <w:r w:rsidRPr="00405ECB">
        <w:rPr>
          <w:rFonts w:asciiTheme="majorHAnsi" w:hAnsiTheme="majorHAnsi" w:cstheme="majorHAnsi"/>
          <w:spacing w:val="-1"/>
          <w:sz w:val="24"/>
          <w:szCs w:val="24"/>
        </w:rPr>
        <w:t>distribution</w:t>
      </w:r>
      <w:r w:rsidRPr="00405ECB">
        <w:rPr>
          <w:rFonts w:asciiTheme="majorHAnsi" w:hAnsiTheme="majorHAnsi" w:cstheme="majorHAnsi"/>
          <w:spacing w:val="-11"/>
          <w:sz w:val="24"/>
          <w:szCs w:val="24"/>
        </w:rPr>
        <w:t xml:space="preserve"> </w:t>
      </w:r>
      <w:r w:rsidRPr="00405ECB">
        <w:rPr>
          <w:rFonts w:asciiTheme="majorHAnsi" w:hAnsiTheme="majorHAnsi" w:cstheme="majorHAnsi"/>
          <w:sz w:val="24"/>
          <w:szCs w:val="24"/>
        </w:rPr>
        <w:t>of</w:t>
      </w:r>
      <w:r w:rsidRPr="00405ECB">
        <w:rPr>
          <w:rFonts w:asciiTheme="majorHAnsi" w:hAnsiTheme="majorHAnsi" w:cstheme="majorHAnsi"/>
          <w:spacing w:val="-12"/>
          <w:sz w:val="24"/>
          <w:szCs w:val="24"/>
        </w:rPr>
        <w:t xml:space="preserve"> </w:t>
      </w:r>
      <w:r w:rsidRPr="00405ECB">
        <w:rPr>
          <w:rFonts w:asciiTheme="majorHAnsi" w:hAnsiTheme="majorHAnsi" w:cstheme="majorHAnsi"/>
          <w:sz w:val="24"/>
          <w:szCs w:val="24"/>
        </w:rPr>
        <w:t>pulmonary</w:t>
      </w:r>
      <w:r w:rsidRPr="00405ECB">
        <w:rPr>
          <w:rFonts w:asciiTheme="majorHAnsi" w:hAnsiTheme="majorHAnsi" w:cstheme="majorHAnsi"/>
          <w:spacing w:val="-12"/>
          <w:sz w:val="24"/>
          <w:szCs w:val="24"/>
        </w:rPr>
        <w:t xml:space="preserve"> </w:t>
      </w:r>
      <w:r w:rsidRPr="00405ECB">
        <w:rPr>
          <w:rFonts w:asciiTheme="majorHAnsi" w:hAnsiTheme="majorHAnsi" w:cstheme="majorHAnsi"/>
          <w:sz w:val="24"/>
          <w:szCs w:val="24"/>
        </w:rPr>
        <w:t>tuberculosis</w:t>
      </w:r>
      <w:r w:rsidRPr="00405ECB">
        <w:rPr>
          <w:rFonts w:asciiTheme="majorHAnsi" w:hAnsiTheme="majorHAnsi" w:cstheme="majorHAnsi"/>
          <w:spacing w:val="-11"/>
          <w:sz w:val="24"/>
          <w:szCs w:val="24"/>
        </w:rPr>
        <w:t xml:space="preserve"> </w:t>
      </w:r>
      <w:r w:rsidRPr="00405ECB">
        <w:rPr>
          <w:rFonts w:asciiTheme="majorHAnsi" w:hAnsiTheme="majorHAnsi" w:cstheme="majorHAnsi"/>
          <w:sz w:val="24"/>
          <w:szCs w:val="24"/>
        </w:rPr>
        <w:t>in</w:t>
      </w:r>
      <w:r w:rsidRPr="00405ECB">
        <w:rPr>
          <w:rFonts w:asciiTheme="majorHAnsi" w:hAnsiTheme="majorHAnsi" w:cstheme="majorHAnsi"/>
          <w:spacing w:val="-11"/>
          <w:sz w:val="24"/>
          <w:szCs w:val="24"/>
        </w:rPr>
        <w:t xml:space="preserve"> </w:t>
      </w:r>
      <w:proofErr w:type="spellStart"/>
      <w:r w:rsidRPr="00405ECB">
        <w:rPr>
          <w:rFonts w:asciiTheme="majorHAnsi" w:hAnsiTheme="majorHAnsi" w:cstheme="majorHAnsi"/>
          <w:sz w:val="24"/>
          <w:szCs w:val="24"/>
        </w:rPr>
        <w:t>Kabanjahe</w:t>
      </w:r>
      <w:proofErr w:type="spellEnd"/>
      <w:r w:rsidRPr="00405ECB">
        <w:rPr>
          <w:rFonts w:asciiTheme="majorHAnsi" w:hAnsiTheme="majorHAnsi" w:cstheme="majorHAnsi"/>
          <w:spacing w:val="-11"/>
          <w:sz w:val="24"/>
          <w:szCs w:val="24"/>
        </w:rPr>
        <w:t xml:space="preserve"> </w:t>
      </w:r>
      <w:r w:rsidRPr="00405ECB">
        <w:rPr>
          <w:rFonts w:asciiTheme="majorHAnsi" w:hAnsiTheme="majorHAnsi" w:cstheme="majorHAnsi"/>
          <w:sz w:val="24"/>
          <w:szCs w:val="24"/>
        </w:rPr>
        <w:t>District,</w:t>
      </w:r>
      <w:r w:rsidRPr="00405ECB">
        <w:rPr>
          <w:rFonts w:asciiTheme="majorHAnsi" w:hAnsiTheme="majorHAnsi" w:cstheme="majorHAnsi"/>
          <w:spacing w:val="-11"/>
          <w:sz w:val="24"/>
          <w:szCs w:val="24"/>
        </w:rPr>
        <w:t xml:space="preserve"> </w:t>
      </w:r>
      <w:r w:rsidRPr="00405ECB">
        <w:rPr>
          <w:rFonts w:asciiTheme="majorHAnsi" w:hAnsiTheme="majorHAnsi" w:cstheme="majorHAnsi"/>
          <w:sz w:val="24"/>
          <w:szCs w:val="24"/>
        </w:rPr>
        <w:t>Karo</w:t>
      </w:r>
      <w:r w:rsidRPr="00405ECB">
        <w:rPr>
          <w:rFonts w:asciiTheme="majorHAnsi" w:hAnsiTheme="majorHAnsi" w:cstheme="majorHAnsi"/>
          <w:spacing w:val="-12"/>
          <w:sz w:val="24"/>
          <w:szCs w:val="24"/>
        </w:rPr>
        <w:t xml:space="preserve"> </w:t>
      </w:r>
      <w:r w:rsidRPr="00405ECB">
        <w:rPr>
          <w:rFonts w:asciiTheme="majorHAnsi" w:hAnsiTheme="majorHAnsi" w:cstheme="majorHAnsi"/>
          <w:sz w:val="24"/>
          <w:szCs w:val="24"/>
        </w:rPr>
        <w:t>regency,</w:t>
      </w:r>
      <w:r w:rsidRPr="00405ECB">
        <w:rPr>
          <w:rFonts w:asciiTheme="majorHAnsi" w:hAnsiTheme="majorHAnsi" w:cstheme="majorHAnsi"/>
          <w:spacing w:val="-58"/>
          <w:sz w:val="24"/>
          <w:szCs w:val="24"/>
        </w:rPr>
        <w:t xml:space="preserve"> </w:t>
      </w:r>
      <w:r w:rsidRPr="00405ECB">
        <w:rPr>
          <w:rFonts w:asciiTheme="majorHAnsi" w:hAnsiTheme="majorHAnsi" w:cstheme="majorHAnsi"/>
          <w:sz w:val="24"/>
          <w:szCs w:val="24"/>
        </w:rPr>
        <w:t>Indonesia,”</w:t>
      </w:r>
      <w:r w:rsidRPr="00405ECB">
        <w:rPr>
          <w:rFonts w:asciiTheme="majorHAnsi" w:hAnsiTheme="majorHAnsi" w:cstheme="majorHAnsi"/>
          <w:spacing w:val="1"/>
          <w:sz w:val="24"/>
          <w:szCs w:val="24"/>
        </w:rPr>
        <w:t xml:space="preserve"> </w:t>
      </w:r>
      <w:r w:rsidRPr="00405ECB">
        <w:rPr>
          <w:rFonts w:asciiTheme="majorHAnsi" w:hAnsiTheme="majorHAnsi" w:cstheme="majorHAnsi"/>
          <w:i/>
          <w:sz w:val="24"/>
          <w:szCs w:val="24"/>
        </w:rPr>
        <w:t>Open</w:t>
      </w:r>
      <w:r w:rsidRPr="00405ECB">
        <w:rPr>
          <w:rFonts w:asciiTheme="majorHAnsi" w:hAnsiTheme="majorHAnsi" w:cstheme="majorHAnsi"/>
          <w:i/>
          <w:spacing w:val="1"/>
          <w:sz w:val="24"/>
          <w:szCs w:val="24"/>
        </w:rPr>
        <w:t xml:space="preserve"> </w:t>
      </w:r>
      <w:r w:rsidRPr="00405ECB">
        <w:rPr>
          <w:rFonts w:asciiTheme="majorHAnsi" w:hAnsiTheme="majorHAnsi" w:cstheme="majorHAnsi"/>
          <w:i/>
          <w:sz w:val="24"/>
          <w:szCs w:val="24"/>
        </w:rPr>
        <w:t>Access</w:t>
      </w:r>
      <w:r w:rsidRPr="00405ECB">
        <w:rPr>
          <w:rFonts w:asciiTheme="majorHAnsi" w:hAnsiTheme="majorHAnsi" w:cstheme="majorHAnsi"/>
          <w:i/>
          <w:spacing w:val="1"/>
          <w:sz w:val="24"/>
          <w:szCs w:val="24"/>
        </w:rPr>
        <w:t xml:space="preserve"> </w:t>
      </w:r>
      <w:r w:rsidRPr="00405ECB">
        <w:rPr>
          <w:rFonts w:asciiTheme="majorHAnsi" w:hAnsiTheme="majorHAnsi" w:cstheme="majorHAnsi"/>
          <w:i/>
          <w:sz w:val="24"/>
          <w:szCs w:val="24"/>
        </w:rPr>
        <w:t>Maced.</w:t>
      </w:r>
      <w:r w:rsidRPr="00405ECB">
        <w:rPr>
          <w:rFonts w:asciiTheme="majorHAnsi" w:hAnsiTheme="majorHAnsi" w:cstheme="majorHAnsi"/>
          <w:i/>
          <w:spacing w:val="1"/>
          <w:sz w:val="24"/>
          <w:szCs w:val="24"/>
        </w:rPr>
        <w:t xml:space="preserve"> </w:t>
      </w:r>
      <w:r w:rsidRPr="00405ECB">
        <w:rPr>
          <w:rFonts w:asciiTheme="majorHAnsi" w:hAnsiTheme="majorHAnsi" w:cstheme="majorHAnsi"/>
          <w:i/>
          <w:sz w:val="24"/>
          <w:szCs w:val="24"/>
        </w:rPr>
        <w:t>J.</w:t>
      </w:r>
      <w:r w:rsidRPr="00405ECB">
        <w:rPr>
          <w:rFonts w:asciiTheme="majorHAnsi" w:hAnsiTheme="majorHAnsi" w:cstheme="majorHAnsi"/>
          <w:i/>
          <w:spacing w:val="1"/>
          <w:sz w:val="24"/>
          <w:szCs w:val="24"/>
        </w:rPr>
        <w:t xml:space="preserve"> </w:t>
      </w:r>
      <w:r w:rsidRPr="00405ECB">
        <w:rPr>
          <w:rFonts w:asciiTheme="majorHAnsi" w:hAnsiTheme="majorHAnsi" w:cstheme="majorHAnsi"/>
          <w:i/>
          <w:sz w:val="24"/>
          <w:szCs w:val="24"/>
        </w:rPr>
        <w:t>Med.</w:t>
      </w:r>
      <w:r w:rsidRPr="00405ECB">
        <w:rPr>
          <w:rFonts w:asciiTheme="majorHAnsi" w:hAnsiTheme="majorHAnsi" w:cstheme="majorHAnsi"/>
          <w:i/>
          <w:spacing w:val="1"/>
          <w:sz w:val="24"/>
          <w:szCs w:val="24"/>
        </w:rPr>
        <w:t xml:space="preserve"> </w:t>
      </w:r>
      <w:r w:rsidRPr="00405ECB">
        <w:rPr>
          <w:rFonts w:asciiTheme="majorHAnsi" w:hAnsiTheme="majorHAnsi" w:cstheme="majorHAnsi"/>
          <w:i/>
          <w:sz w:val="24"/>
          <w:szCs w:val="24"/>
        </w:rPr>
        <w:t>Sci.</w:t>
      </w:r>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vol.</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9,</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pp.</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817–822,</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2021,</w:t>
      </w:r>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doi</w:t>
      </w:r>
      <w:proofErr w:type="spellEnd"/>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10.3889/oamjms.2021.6808.</w:t>
      </w:r>
    </w:p>
    <w:p w14:paraId="50FF686A" w14:textId="77777777" w:rsidR="00D15347" w:rsidRPr="00405ECB" w:rsidRDefault="00D15347" w:rsidP="00405ECB">
      <w:pPr>
        <w:spacing w:after="0" w:line="276" w:lineRule="auto"/>
        <w:ind w:left="567" w:right="-46" w:hanging="567"/>
        <w:jc w:val="both"/>
        <w:rPr>
          <w:rFonts w:asciiTheme="majorHAnsi" w:hAnsiTheme="majorHAnsi" w:cstheme="majorHAnsi"/>
          <w:sz w:val="24"/>
          <w:szCs w:val="24"/>
        </w:rPr>
      </w:pPr>
      <w:r w:rsidRPr="00405ECB">
        <w:rPr>
          <w:rFonts w:asciiTheme="majorHAnsi" w:hAnsiTheme="majorHAnsi" w:cstheme="majorHAnsi"/>
          <w:sz w:val="24"/>
          <w:szCs w:val="24"/>
        </w:rPr>
        <w:t xml:space="preserve">S. G. Purnama, T. Baskoro, and Y. </w:t>
      </w:r>
      <w:proofErr w:type="spellStart"/>
      <w:r w:rsidRPr="00405ECB">
        <w:rPr>
          <w:rFonts w:asciiTheme="majorHAnsi" w:hAnsiTheme="majorHAnsi" w:cstheme="majorHAnsi"/>
          <w:sz w:val="24"/>
          <w:szCs w:val="24"/>
        </w:rPr>
        <w:t>Prabandari</w:t>
      </w:r>
      <w:proofErr w:type="spellEnd"/>
      <w:r w:rsidRPr="00405ECB">
        <w:rPr>
          <w:rFonts w:asciiTheme="majorHAnsi" w:hAnsiTheme="majorHAnsi" w:cstheme="majorHAnsi"/>
          <w:sz w:val="24"/>
          <w:szCs w:val="24"/>
        </w:rPr>
        <w:t>, “PEMETAAN SPATIAL KASUS</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INFEKSI</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DENGUE</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DAN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UJI</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KERENTANAN</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AEDES</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AEGYPTI</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PADA</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ORGANOFOSFAT,”</w:t>
      </w:r>
      <w:r w:rsidRPr="00405ECB">
        <w:rPr>
          <w:rFonts w:asciiTheme="majorHAnsi" w:hAnsiTheme="majorHAnsi" w:cstheme="majorHAnsi"/>
          <w:spacing w:val="1"/>
          <w:sz w:val="24"/>
          <w:szCs w:val="24"/>
        </w:rPr>
        <w:t xml:space="preserve"> </w:t>
      </w:r>
      <w:r w:rsidRPr="00405ECB">
        <w:rPr>
          <w:rFonts w:asciiTheme="majorHAnsi" w:hAnsiTheme="majorHAnsi" w:cstheme="majorHAnsi"/>
          <w:i/>
          <w:sz w:val="24"/>
          <w:szCs w:val="24"/>
        </w:rPr>
        <w:t>J.</w:t>
      </w:r>
      <w:r w:rsidRPr="00405ECB">
        <w:rPr>
          <w:rFonts w:asciiTheme="majorHAnsi" w:hAnsiTheme="majorHAnsi" w:cstheme="majorHAnsi"/>
          <w:i/>
          <w:spacing w:val="1"/>
          <w:sz w:val="24"/>
          <w:szCs w:val="24"/>
        </w:rPr>
        <w:t xml:space="preserve"> </w:t>
      </w:r>
      <w:r w:rsidRPr="00405ECB">
        <w:rPr>
          <w:rFonts w:asciiTheme="majorHAnsi" w:hAnsiTheme="majorHAnsi" w:cstheme="majorHAnsi"/>
          <w:i/>
          <w:sz w:val="24"/>
          <w:szCs w:val="24"/>
        </w:rPr>
        <w:t>ILMU</w:t>
      </w:r>
      <w:r w:rsidRPr="00405ECB">
        <w:rPr>
          <w:rFonts w:asciiTheme="majorHAnsi" w:hAnsiTheme="majorHAnsi" w:cstheme="majorHAnsi"/>
          <w:i/>
          <w:spacing w:val="1"/>
          <w:sz w:val="24"/>
          <w:szCs w:val="24"/>
        </w:rPr>
        <w:t xml:space="preserve"> </w:t>
      </w:r>
      <w:proofErr w:type="spellStart"/>
      <w:r w:rsidRPr="00405ECB">
        <w:rPr>
          <w:rFonts w:asciiTheme="majorHAnsi" w:hAnsiTheme="majorHAnsi" w:cstheme="majorHAnsi"/>
          <w:i/>
          <w:sz w:val="24"/>
          <w:szCs w:val="24"/>
        </w:rPr>
        <w:t>Kesehat</w:t>
      </w:r>
      <w:proofErr w:type="spellEnd"/>
      <w:r w:rsidRPr="00405ECB">
        <w:rPr>
          <w:rFonts w:asciiTheme="majorHAnsi" w:hAnsiTheme="majorHAnsi" w:cstheme="majorHAnsi"/>
          <w:i/>
          <w:sz w:val="24"/>
          <w:szCs w:val="24"/>
        </w:rPr>
        <w:t>.</w:t>
      </w:r>
      <w:r w:rsidRPr="00405ECB">
        <w:rPr>
          <w:rFonts w:asciiTheme="majorHAnsi" w:hAnsiTheme="majorHAnsi" w:cstheme="majorHAnsi"/>
          <w:i/>
          <w:spacing w:val="1"/>
          <w:sz w:val="24"/>
          <w:szCs w:val="24"/>
        </w:rPr>
        <w:t xml:space="preserve"> </w:t>
      </w:r>
      <w:proofErr w:type="spellStart"/>
      <w:r w:rsidRPr="00405ECB">
        <w:rPr>
          <w:rFonts w:asciiTheme="majorHAnsi" w:hAnsiTheme="majorHAnsi" w:cstheme="majorHAnsi"/>
          <w:i/>
          <w:sz w:val="24"/>
          <w:szCs w:val="24"/>
        </w:rPr>
        <w:t>Masy</w:t>
      </w:r>
      <w:proofErr w:type="spellEnd"/>
      <w:r w:rsidRPr="00405ECB">
        <w:rPr>
          <w:rFonts w:asciiTheme="majorHAnsi" w:hAnsiTheme="majorHAnsi" w:cstheme="majorHAnsi"/>
          <w:i/>
          <w:sz w:val="24"/>
          <w:szCs w:val="24"/>
        </w:rPr>
        <w:t>.</w:t>
      </w:r>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vol.</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4,</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2013,</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[Online].</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Available:</w:t>
      </w:r>
      <w:r w:rsidRPr="00405ECB">
        <w:rPr>
          <w:rFonts w:asciiTheme="majorHAnsi" w:hAnsiTheme="majorHAnsi" w:cstheme="majorHAnsi"/>
          <w:spacing w:val="-57"/>
          <w:sz w:val="24"/>
          <w:szCs w:val="24"/>
        </w:rPr>
        <w:t xml:space="preserve"> </w:t>
      </w:r>
      <w:r w:rsidRPr="00405ECB">
        <w:rPr>
          <w:rFonts w:asciiTheme="majorHAnsi" w:hAnsiTheme="majorHAnsi" w:cstheme="majorHAnsi"/>
          <w:sz w:val="24"/>
          <w:szCs w:val="24"/>
        </w:rPr>
        <w:t>https://ejournal.fkm.unsri.ac.id/index.php/jikm/article/view/275/219.</w:t>
      </w:r>
    </w:p>
    <w:p w14:paraId="71558A1D" w14:textId="77777777" w:rsidR="00D15347" w:rsidRPr="00405ECB" w:rsidRDefault="00D15347" w:rsidP="00405ECB">
      <w:pPr>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sz w:val="24"/>
          <w:szCs w:val="24"/>
        </w:rPr>
        <w:t xml:space="preserve">W. Wang </w:t>
      </w:r>
      <w:r w:rsidRPr="00405ECB">
        <w:rPr>
          <w:rFonts w:asciiTheme="majorHAnsi" w:hAnsiTheme="majorHAnsi" w:cstheme="majorHAnsi"/>
          <w:i/>
          <w:sz w:val="24"/>
          <w:szCs w:val="24"/>
        </w:rPr>
        <w:t>et al.</w:t>
      </w:r>
      <w:r w:rsidRPr="00405ECB">
        <w:rPr>
          <w:rFonts w:asciiTheme="majorHAnsi" w:hAnsiTheme="majorHAnsi" w:cstheme="majorHAnsi"/>
          <w:sz w:val="24"/>
          <w:szCs w:val="24"/>
        </w:rPr>
        <w:t xml:space="preserve">, “Demam </w:t>
      </w:r>
      <w:proofErr w:type="spellStart"/>
      <w:r w:rsidRPr="00405ECB">
        <w:rPr>
          <w:rFonts w:asciiTheme="majorHAnsi" w:hAnsiTheme="majorHAnsi" w:cstheme="majorHAnsi"/>
          <w:sz w:val="24"/>
          <w:szCs w:val="24"/>
        </w:rPr>
        <w:t>Berdarah</w:t>
      </w:r>
      <w:proofErr w:type="spellEnd"/>
      <w:r w:rsidRPr="00405ECB">
        <w:rPr>
          <w:rFonts w:asciiTheme="majorHAnsi" w:hAnsiTheme="majorHAnsi" w:cstheme="majorHAnsi"/>
          <w:sz w:val="24"/>
          <w:szCs w:val="24"/>
        </w:rPr>
        <w:t xml:space="preserve"> Dengue </w:t>
      </w:r>
      <w:proofErr w:type="spellStart"/>
      <w:r w:rsidRPr="00405ECB">
        <w:rPr>
          <w:rFonts w:asciiTheme="majorHAnsi" w:hAnsiTheme="majorHAnsi" w:cstheme="majorHAnsi"/>
          <w:sz w:val="24"/>
          <w:szCs w:val="24"/>
        </w:rPr>
        <w:t>Tinjauan</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literatur</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sistemik</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dari</w:t>
      </w:r>
      <w:proofErr w:type="spellEnd"/>
      <w:r w:rsidRPr="00405ECB">
        <w:rPr>
          <w:rFonts w:asciiTheme="majorHAnsi" w:hAnsiTheme="majorHAnsi" w:cstheme="majorHAnsi"/>
          <w:sz w:val="24"/>
          <w:szCs w:val="24"/>
        </w:rPr>
        <w:t xml:space="preserve"> </w:t>
      </w:r>
      <w:proofErr w:type="spellStart"/>
      <w:r w:rsidRPr="00405ECB">
        <w:rPr>
          <w:rFonts w:asciiTheme="majorHAnsi" w:hAnsiTheme="majorHAnsi" w:cstheme="majorHAnsi"/>
          <w:sz w:val="24"/>
          <w:szCs w:val="24"/>
        </w:rPr>
        <w:t>perspektif</w:t>
      </w:r>
      <w:proofErr w:type="spellEnd"/>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saat</w:t>
      </w:r>
      <w:proofErr w:type="spellEnd"/>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ini</w:t>
      </w:r>
      <w:proofErr w:type="spellEnd"/>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tentang</w:t>
      </w:r>
      <w:proofErr w:type="spellEnd"/>
      <w:r w:rsidRPr="00405ECB">
        <w:rPr>
          <w:rFonts w:asciiTheme="majorHAnsi" w:hAnsiTheme="majorHAnsi" w:cstheme="majorHAnsi"/>
          <w:spacing w:val="1"/>
          <w:sz w:val="24"/>
          <w:szCs w:val="24"/>
        </w:rPr>
        <w:t xml:space="preserve"> </w:t>
      </w:r>
      <w:proofErr w:type="spellStart"/>
      <w:proofErr w:type="gramStart"/>
      <w:r w:rsidRPr="00405ECB">
        <w:rPr>
          <w:rFonts w:asciiTheme="majorHAnsi" w:hAnsiTheme="majorHAnsi" w:cstheme="majorHAnsi"/>
          <w:sz w:val="24"/>
          <w:szCs w:val="24"/>
        </w:rPr>
        <w:t>patogenesis</w:t>
      </w:r>
      <w:proofErr w:type="spell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w:t>
      </w:r>
      <w:proofErr w:type="gramEnd"/>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pencegahan</w:t>
      </w:r>
      <w:proofErr w:type="spellEnd"/>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dan</w:t>
      </w:r>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pengendalian</w:t>
      </w:r>
      <w:proofErr w:type="spellEnd"/>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2020,</w:t>
      </w:r>
      <w:r w:rsidRPr="00405ECB">
        <w:rPr>
          <w:rFonts w:asciiTheme="majorHAnsi" w:hAnsiTheme="majorHAnsi" w:cstheme="majorHAnsi"/>
          <w:spacing w:val="1"/>
          <w:sz w:val="24"/>
          <w:szCs w:val="24"/>
        </w:rPr>
        <w:t xml:space="preserve"> </w:t>
      </w:r>
      <w:proofErr w:type="spellStart"/>
      <w:r w:rsidRPr="00405ECB">
        <w:rPr>
          <w:rFonts w:asciiTheme="majorHAnsi" w:hAnsiTheme="majorHAnsi" w:cstheme="majorHAnsi"/>
          <w:sz w:val="24"/>
          <w:szCs w:val="24"/>
        </w:rPr>
        <w:t>doi</w:t>
      </w:r>
      <w:proofErr w:type="spellEnd"/>
      <w:r w:rsidRPr="00405ECB">
        <w:rPr>
          <w:rFonts w:asciiTheme="majorHAnsi" w:hAnsiTheme="majorHAnsi" w:cstheme="majorHAnsi"/>
          <w:sz w:val="24"/>
          <w:szCs w:val="24"/>
        </w:rPr>
        <w:t>:</w:t>
      </w:r>
      <w:r w:rsidRPr="00405ECB">
        <w:rPr>
          <w:rFonts w:asciiTheme="majorHAnsi" w:hAnsiTheme="majorHAnsi" w:cstheme="majorHAnsi"/>
          <w:spacing w:val="1"/>
          <w:sz w:val="24"/>
          <w:szCs w:val="24"/>
        </w:rPr>
        <w:t xml:space="preserve"> </w:t>
      </w:r>
      <w:r w:rsidRPr="00405ECB">
        <w:rPr>
          <w:rFonts w:asciiTheme="majorHAnsi" w:hAnsiTheme="majorHAnsi" w:cstheme="majorHAnsi"/>
          <w:sz w:val="24"/>
          <w:szCs w:val="24"/>
        </w:rPr>
        <w:t>10.1016/j.jmii.2020.03.007.</w:t>
      </w:r>
    </w:p>
    <w:p w14:paraId="79A0720B" w14:textId="77777777" w:rsidR="00D15347" w:rsidRPr="00405ECB" w:rsidRDefault="00D15347" w:rsidP="00405ECB">
      <w:pPr>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WHO, “Dengue in the WHO European Region,” </w:t>
      </w:r>
      <w:r w:rsidRPr="00405ECB">
        <w:rPr>
          <w:rFonts w:asciiTheme="majorHAnsi" w:hAnsiTheme="majorHAnsi" w:cstheme="majorHAnsi"/>
          <w:i/>
          <w:iCs/>
          <w:noProof/>
          <w:sz w:val="24"/>
          <w:szCs w:val="24"/>
        </w:rPr>
        <w:t>Dengue WHO Eoropean Reg.</w:t>
      </w:r>
      <w:r w:rsidRPr="00405ECB">
        <w:rPr>
          <w:rFonts w:asciiTheme="majorHAnsi" w:hAnsiTheme="majorHAnsi" w:cstheme="majorHAnsi"/>
          <w:noProof/>
          <w:sz w:val="24"/>
          <w:szCs w:val="24"/>
        </w:rPr>
        <w:t>, 2020, [Online]. Available: https://www.euro.who.int/__data/assets/pdf_file/0009/234198/Dengue-in-the-WHO-European-Region.pdf</w:t>
      </w:r>
    </w:p>
    <w:p w14:paraId="1B440569" w14:textId="77777777" w:rsidR="00D15347" w:rsidRPr="00405ECB" w:rsidRDefault="00D15347" w:rsidP="00405ECB">
      <w:pPr>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Dinas Kesehatan Provinsi Sumatera Utara, </w:t>
      </w:r>
      <w:r w:rsidRPr="00405ECB">
        <w:rPr>
          <w:rFonts w:asciiTheme="majorHAnsi" w:hAnsiTheme="majorHAnsi" w:cstheme="majorHAnsi"/>
          <w:i/>
          <w:iCs/>
          <w:noProof/>
          <w:sz w:val="24"/>
          <w:szCs w:val="24"/>
        </w:rPr>
        <w:t>Profil Dinas Kesehatan Profinsi Sumatera Utara</w:t>
      </w:r>
      <w:r w:rsidRPr="00405ECB">
        <w:rPr>
          <w:rFonts w:asciiTheme="majorHAnsi" w:hAnsiTheme="majorHAnsi" w:cstheme="majorHAnsi"/>
          <w:noProof/>
          <w:sz w:val="24"/>
          <w:szCs w:val="24"/>
        </w:rPr>
        <w:t>. 2019. [Online].Available: http://dinkes.sumutpov.go.id/common/upload/d9/93344c3888193ac75711f1fae30e9b_Buku Profil Kesehatan  2019.pdf</w:t>
      </w:r>
    </w:p>
    <w:p w14:paraId="1B9058E6" w14:textId="77777777" w:rsidR="00D15347" w:rsidRPr="00405ECB" w:rsidRDefault="00D15347" w:rsidP="00405ECB">
      <w:pPr>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lastRenderedPageBreak/>
        <w:t xml:space="preserve">Jernita &amp; Likas, “Identifikasi dan distribusi nyamuk Aedes SP. Sebagai Prevalensi Penyakit Demam Berdarah Dengue Di Kabupaten Karo,” </w:t>
      </w:r>
      <w:r w:rsidRPr="00405ECB">
        <w:rPr>
          <w:rFonts w:asciiTheme="majorHAnsi" w:hAnsiTheme="majorHAnsi" w:cstheme="majorHAnsi"/>
          <w:i/>
          <w:iCs/>
          <w:noProof/>
          <w:sz w:val="24"/>
          <w:szCs w:val="24"/>
        </w:rPr>
        <w:t>Penelitian</w:t>
      </w:r>
      <w:r w:rsidRPr="00405ECB">
        <w:rPr>
          <w:rFonts w:asciiTheme="majorHAnsi" w:hAnsiTheme="majorHAnsi" w:cstheme="majorHAnsi"/>
          <w:noProof/>
          <w:sz w:val="24"/>
          <w:szCs w:val="24"/>
        </w:rPr>
        <w:t>, pp. 54–78, 2019, [Online]. Available: http://poltekkes.aplikasi-akademik.com/xmlui/handle/123456789/2316</w:t>
      </w:r>
    </w:p>
    <w:p w14:paraId="0BAF3B89" w14:textId="77777777" w:rsidR="00D15347" w:rsidRPr="00405ECB" w:rsidRDefault="00D15347" w:rsidP="00405ECB">
      <w:pPr>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tab/>
        <w:t>M. F. Ernyasih, Rafika zulfa, Andriyani, “Analisi Spasial Kejadian Demam Berdarah Dengue di Kota Tangerang Selatan Tahun 2016-2019,” vol. 01, pp. 74–98, 2020.</w:t>
      </w:r>
    </w:p>
    <w:p w14:paraId="5C8BB14A" w14:textId="77777777" w:rsidR="00D15347" w:rsidRPr="00405ECB" w:rsidRDefault="00D15347" w:rsidP="00405ECB">
      <w:pPr>
        <w:adjustRightInd w:val="0"/>
        <w:spacing w:after="0" w:line="276" w:lineRule="auto"/>
        <w:ind w:left="567" w:right="-46" w:hanging="567"/>
        <w:jc w:val="both"/>
        <w:rPr>
          <w:rFonts w:asciiTheme="majorHAnsi" w:hAnsiTheme="majorHAnsi" w:cstheme="majorHAnsi"/>
          <w:noProof/>
          <w:sz w:val="24"/>
          <w:szCs w:val="24"/>
        </w:rPr>
      </w:pPr>
      <w:r w:rsidRPr="00405ECB">
        <w:rPr>
          <w:rFonts w:asciiTheme="majorHAnsi" w:hAnsiTheme="majorHAnsi" w:cstheme="majorHAnsi"/>
          <w:noProof/>
          <w:sz w:val="24"/>
          <w:szCs w:val="24"/>
        </w:rPr>
        <w:t xml:space="preserve">Kasman. and N. I. Ishak, “Analysis of Diseases of Dengue Healthy Fever Diseases,” </w:t>
      </w:r>
      <w:r w:rsidRPr="00405ECB">
        <w:rPr>
          <w:rFonts w:asciiTheme="majorHAnsi" w:hAnsiTheme="majorHAnsi" w:cstheme="majorHAnsi"/>
          <w:i/>
          <w:iCs/>
          <w:noProof/>
          <w:sz w:val="24"/>
          <w:szCs w:val="24"/>
        </w:rPr>
        <w:t>Indones. J. Heal. Promot.</w:t>
      </w:r>
      <w:r w:rsidRPr="00405ECB">
        <w:rPr>
          <w:rFonts w:asciiTheme="majorHAnsi" w:hAnsiTheme="majorHAnsi" w:cstheme="majorHAnsi"/>
          <w:noProof/>
          <w:sz w:val="24"/>
          <w:szCs w:val="24"/>
        </w:rPr>
        <w:t xml:space="preserve">, vol. 1, no. </w:t>
      </w:r>
      <w:r w:rsidRPr="00405ECB">
        <w:rPr>
          <w:rFonts w:asciiTheme="majorHAnsi" w:hAnsiTheme="majorHAnsi" w:cstheme="majorHAnsi"/>
          <w:noProof/>
          <w:sz w:val="24"/>
          <w:szCs w:val="24"/>
        </w:rPr>
        <w:t>2597–6052, pp. 32–39, 2018, [Online]. Available: ttps://www.mendeley.com/catalogue/analisis-penyebaran-penyakit-demam-berdarah-dengue-di-kota-banjarmasin-tahun-20122016/%0D</w:t>
      </w:r>
    </w:p>
    <w:p w14:paraId="70626CFD" w14:textId="761D3866" w:rsidR="00FB36C5" w:rsidRPr="00405ECB" w:rsidRDefault="00D15347" w:rsidP="00405ECB">
      <w:pPr>
        <w:widowControl w:val="0"/>
        <w:tabs>
          <w:tab w:val="left" w:pos="284"/>
        </w:tabs>
        <w:spacing w:after="0" w:line="276" w:lineRule="auto"/>
        <w:ind w:left="509" w:right="-46" w:hanging="509"/>
        <w:jc w:val="both"/>
        <w:rPr>
          <w:rFonts w:asciiTheme="majorHAnsi" w:hAnsiTheme="majorHAnsi" w:cstheme="majorHAnsi"/>
          <w:sz w:val="24"/>
          <w:szCs w:val="24"/>
        </w:rPr>
      </w:pPr>
      <w:r w:rsidRPr="00405ECB">
        <w:rPr>
          <w:rFonts w:asciiTheme="majorHAnsi" w:hAnsiTheme="majorHAnsi" w:cstheme="majorHAnsi"/>
          <w:noProof/>
          <w:sz w:val="24"/>
          <w:szCs w:val="24"/>
        </w:rPr>
        <w:t>H. N. R. Tambunan, “Faktor Lingkungan Dan Kejadian Demam Berdarah Dengue (Dbd) Daerah Endemis Kecamatan Gading Cempaka Kota Bengkulu Tahun 2012,” 2013, [Online]. Available: http://etd.repository.ugm.ac.id/index.php?mod=penelitian_detail&amp;sub=PenelitianDetail&amp;act=view&amp;typ=html&amp;buku_id=67427</w:t>
      </w:r>
    </w:p>
    <w:p w14:paraId="0AFC0B24" w14:textId="77777777" w:rsidR="00FB36C5" w:rsidRPr="00405ECB" w:rsidRDefault="00FB36C5" w:rsidP="00405ECB">
      <w:pPr>
        <w:widowControl w:val="0"/>
        <w:spacing w:after="0" w:line="276" w:lineRule="auto"/>
        <w:jc w:val="both"/>
        <w:rPr>
          <w:rFonts w:asciiTheme="majorHAnsi" w:hAnsiTheme="majorHAnsi" w:cstheme="majorHAnsi"/>
          <w:sz w:val="24"/>
          <w:szCs w:val="24"/>
        </w:rPr>
      </w:pPr>
    </w:p>
    <w:p w14:paraId="024426D8" w14:textId="77777777" w:rsidR="00FB36C5" w:rsidRPr="00405ECB" w:rsidRDefault="00FB36C5" w:rsidP="00405ECB">
      <w:pPr>
        <w:widowControl w:val="0"/>
        <w:spacing w:after="0" w:line="276" w:lineRule="auto"/>
        <w:jc w:val="both"/>
        <w:rPr>
          <w:rFonts w:asciiTheme="majorHAnsi" w:hAnsiTheme="majorHAnsi" w:cstheme="majorHAnsi"/>
          <w:sz w:val="24"/>
          <w:szCs w:val="24"/>
        </w:rPr>
        <w:sectPr w:rsidR="00FB36C5" w:rsidRPr="00405ECB">
          <w:type w:val="continuous"/>
          <w:pgSz w:w="12240" w:h="15840"/>
          <w:pgMar w:top="1440" w:right="1440" w:bottom="1440" w:left="1440" w:header="708" w:footer="227" w:gutter="0"/>
          <w:cols w:num="2" w:space="720" w:equalWidth="0">
            <w:col w:w="4326" w:space="708"/>
            <w:col w:w="4326" w:space="0"/>
          </w:cols>
        </w:sectPr>
      </w:pPr>
    </w:p>
    <w:p w14:paraId="0B92D9E1" w14:textId="77777777" w:rsidR="00FB36C5" w:rsidRPr="00405ECB" w:rsidRDefault="00FB36C5" w:rsidP="00405ECB">
      <w:pPr>
        <w:spacing w:after="0" w:line="276" w:lineRule="auto"/>
        <w:jc w:val="both"/>
        <w:rPr>
          <w:rFonts w:asciiTheme="majorHAnsi" w:hAnsiTheme="majorHAnsi" w:cstheme="majorHAnsi"/>
          <w:sz w:val="24"/>
          <w:szCs w:val="24"/>
        </w:rPr>
      </w:pPr>
    </w:p>
    <w:tbl>
      <w:tblPr>
        <w:tblStyle w:val="a1"/>
        <w:tblW w:w="9660" w:type="dxa"/>
        <w:tblBorders>
          <w:top w:val="single" w:sz="18" w:space="0" w:color="FF0000"/>
        </w:tblBorders>
        <w:tblLayout w:type="fixed"/>
        <w:tblLook w:val="0400" w:firstRow="0" w:lastRow="0" w:firstColumn="0" w:lastColumn="0" w:noHBand="0" w:noVBand="1"/>
      </w:tblPr>
      <w:tblGrid>
        <w:gridCol w:w="9660"/>
      </w:tblGrid>
      <w:tr w:rsidR="00FB36C5" w:rsidRPr="00405ECB" w14:paraId="33C3673A" w14:textId="77777777">
        <w:trPr>
          <w:trHeight w:val="21"/>
        </w:trPr>
        <w:tc>
          <w:tcPr>
            <w:tcW w:w="9660" w:type="dxa"/>
            <w:tcBorders>
              <w:top w:val="single" w:sz="18" w:space="0" w:color="4F81BD"/>
            </w:tcBorders>
            <w:shd w:val="clear" w:color="auto" w:fill="auto"/>
          </w:tcPr>
          <w:p w14:paraId="1BBD4311" w14:textId="77777777" w:rsidR="00FB36C5" w:rsidRPr="00405ECB" w:rsidRDefault="0042655A" w:rsidP="00405ECB">
            <w:pPr>
              <w:spacing w:after="0" w:line="276" w:lineRule="auto"/>
              <w:jc w:val="center"/>
              <w:rPr>
                <w:rFonts w:asciiTheme="majorHAnsi" w:hAnsiTheme="majorHAnsi" w:cstheme="majorHAnsi"/>
                <w:b/>
                <w:sz w:val="24"/>
                <w:szCs w:val="24"/>
              </w:rPr>
            </w:pPr>
            <w:bookmarkStart w:id="1" w:name="_30j0zll" w:colFirst="0" w:colLast="0"/>
            <w:bookmarkEnd w:id="1"/>
            <w:r w:rsidRPr="00405ECB">
              <w:rPr>
                <w:rFonts w:asciiTheme="majorHAnsi" w:hAnsiTheme="majorHAnsi" w:cstheme="majorHAnsi"/>
                <w:b/>
                <w:sz w:val="24"/>
                <w:szCs w:val="24"/>
              </w:rPr>
              <w:t>Copyright holder:</w:t>
            </w:r>
          </w:p>
          <w:p w14:paraId="46C2A1BB" w14:textId="77777777" w:rsidR="00FB36C5" w:rsidRPr="00405ECB" w:rsidRDefault="0042655A" w:rsidP="00405ECB">
            <w:pPr>
              <w:pBdr>
                <w:top w:val="nil"/>
                <w:left w:val="nil"/>
                <w:bottom w:val="nil"/>
                <w:right w:val="nil"/>
                <w:between w:val="nil"/>
              </w:pBdr>
              <w:spacing w:after="0" w:line="276" w:lineRule="auto"/>
              <w:jc w:val="center"/>
              <w:rPr>
                <w:rFonts w:asciiTheme="majorHAnsi" w:hAnsiTheme="majorHAnsi" w:cstheme="majorHAnsi"/>
                <w:color w:val="000000"/>
                <w:sz w:val="24"/>
                <w:szCs w:val="24"/>
                <w:vertAlign w:val="superscript"/>
              </w:rPr>
            </w:pPr>
            <w:r w:rsidRPr="00405ECB">
              <w:rPr>
                <w:rFonts w:asciiTheme="majorHAnsi" w:hAnsiTheme="majorHAnsi" w:cstheme="majorHAnsi"/>
                <w:color w:val="000000"/>
                <w:sz w:val="24"/>
                <w:szCs w:val="24"/>
              </w:rPr>
              <w:t>Martha Khusnul Aulia, Irwan Bagyo Santoso (2023)</w:t>
            </w:r>
          </w:p>
        </w:tc>
      </w:tr>
      <w:tr w:rsidR="00FB36C5" w:rsidRPr="00405ECB" w14:paraId="67323A6C" w14:textId="77777777">
        <w:trPr>
          <w:trHeight w:val="21"/>
        </w:trPr>
        <w:tc>
          <w:tcPr>
            <w:tcW w:w="9660" w:type="dxa"/>
            <w:shd w:val="clear" w:color="auto" w:fill="auto"/>
          </w:tcPr>
          <w:p w14:paraId="6A5BE799" w14:textId="77777777" w:rsidR="00FB36C5" w:rsidRPr="00405ECB" w:rsidRDefault="00FB36C5" w:rsidP="00405ECB">
            <w:pPr>
              <w:spacing w:after="0" w:line="276" w:lineRule="auto"/>
              <w:jc w:val="center"/>
              <w:rPr>
                <w:rFonts w:asciiTheme="majorHAnsi" w:hAnsiTheme="majorHAnsi" w:cstheme="majorHAnsi"/>
                <w:b/>
                <w:sz w:val="24"/>
                <w:szCs w:val="24"/>
              </w:rPr>
            </w:pPr>
          </w:p>
          <w:p w14:paraId="62D0B604" w14:textId="77777777" w:rsidR="00FB36C5" w:rsidRPr="00405ECB" w:rsidRDefault="0042655A" w:rsidP="00405ECB">
            <w:pPr>
              <w:spacing w:after="0" w:line="276" w:lineRule="auto"/>
              <w:jc w:val="center"/>
              <w:rPr>
                <w:rFonts w:asciiTheme="majorHAnsi" w:hAnsiTheme="majorHAnsi" w:cstheme="majorHAnsi"/>
                <w:b/>
                <w:sz w:val="24"/>
                <w:szCs w:val="24"/>
              </w:rPr>
            </w:pPr>
            <w:r w:rsidRPr="00405ECB">
              <w:rPr>
                <w:rFonts w:asciiTheme="majorHAnsi" w:hAnsiTheme="majorHAnsi" w:cstheme="majorHAnsi"/>
                <w:b/>
                <w:sz w:val="24"/>
                <w:szCs w:val="24"/>
              </w:rPr>
              <w:t>First publication right:</w:t>
            </w:r>
          </w:p>
          <w:p w14:paraId="7BE3A4B2" w14:textId="77777777" w:rsidR="00FB36C5" w:rsidRPr="00405ECB" w:rsidRDefault="0042655A" w:rsidP="00405ECB">
            <w:pPr>
              <w:spacing w:after="0" w:line="276" w:lineRule="auto"/>
              <w:jc w:val="center"/>
              <w:rPr>
                <w:rFonts w:asciiTheme="majorHAnsi" w:hAnsiTheme="majorHAnsi" w:cstheme="majorHAnsi"/>
                <w:sz w:val="24"/>
                <w:szCs w:val="24"/>
              </w:rPr>
            </w:pPr>
            <w:r w:rsidRPr="00405ECB">
              <w:rPr>
                <w:rFonts w:asciiTheme="majorHAnsi" w:hAnsiTheme="majorHAnsi" w:cstheme="majorHAnsi"/>
                <w:sz w:val="24"/>
                <w:szCs w:val="24"/>
              </w:rPr>
              <w:t>Asian Journal of Engineering, Social and Health (AJESH)</w:t>
            </w:r>
          </w:p>
        </w:tc>
      </w:tr>
      <w:tr w:rsidR="00FB36C5" w:rsidRPr="00405ECB" w14:paraId="77AF67F1" w14:textId="77777777">
        <w:trPr>
          <w:trHeight w:val="21"/>
        </w:trPr>
        <w:tc>
          <w:tcPr>
            <w:tcW w:w="9660" w:type="dxa"/>
            <w:shd w:val="clear" w:color="auto" w:fill="auto"/>
          </w:tcPr>
          <w:p w14:paraId="0CF82185" w14:textId="77777777" w:rsidR="00FB36C5" w:rsidRPr="00405ECB" w:rsidRDefault="00FB36C5" w:rsidP="00405ECB">
            <w:pPr>
              <w:spacing w:after="0" w:line="276" w:lineRule="auto"/>
              <w:jc w:val="center"/>
              <w:rPr>
                <w:rFonts w:asciiTheme="majorHAnsi" w:hAnsiTheme="majorHAnsi" w:cstheme="majorHAnsi"/>
                <w:b/>
                <w:sz w:val="24"/>
                <w:szCs w:val="24"/>
              </w:rPr>
            </w:pPr>
          </w:p>
          <w:p w14:paraId="262AAE74" w14:textId="77777777" w:rsidR="00FB36C5" w:rsidRPr="00405ECB" w:rsidRDefault="0042655A" w:rsidP="00405ECB">
            <w:pPr>
              <w:spacing w:after="0" w:line="276" w:lineRule="auto"/>
              <w:jc w:val="center"/>
              <w:rPr>
                <w:rFonts w:asciiTheme="majorHAnsi" w:hAnsiTheme="majorHAnsi" w:cstheme="majorHAnsi"/>
                <w:b/>
                <w:sz w:val="24"/>
                <w:szCs w:val="24"/>
              </w:rPr>
            </w:pPr>
            <w:r w:rsidRPr="00405ECB">
              <w:rPr>
                <w:rFonts w:asciiTheme="majorHAnsi" w:hAnsiTheme="majorHAnsi" w:cstheme="majorHAnsi"/>
                <w:b/>
                <w:sz w:val="24"/>
                <w:szCs w:val="24"/>
              </w:rPr>
              <w:t>This article is licensed under:</w:t>
            </w:r>
          </w:p>
          <w:p w14:paraId="4E736863" w14:textId="77777777" w:rsidR="00FB36C5" w:rsidRPr="00405ECB" w:rsidRDefault="0042655A" w:rsidP="00405ECB">
            <w:pPr>
              <w:spacing w:after="0" w:line="276" w:lineRule="auto"/>
              <w:jc w:val="center"/>
              <w:rPr>
                <w:rFonts w:asciiTheme="majorHAnsi" w:hAnsiTheme="majorHAnsi" w:cstheme="majorHAnsi"/>
                <w:b/>
                <w:smallCaps/>
                <w:sz w:val="24"/>
                <w:szCs w:val="24"/>
              </w:rPr>
            </w:pPr>
            <w:r w:rsidRPr="00405ECB">
              <w:rPr>
                <w:rFonts w:asciiTheme="majorHAnsi" w:hAnsiTheme="majorHAnsi" w:cstheme="majorHAnsi"/>
                <w:noProof/>
                <w:sz w:val="24"/>
                <w:szCs w:val="24"/>
              </w:rPr>
              <w:drawing>
                <wp:inline distT="0" distB="0" distL="0" distR="0" wp14:anchorId="3FA4E169" wp14:editId="336854B5">
                  <wp:extent cx="831850" cy="292100"/>
                  <wp:effectExtent l="0" t="0" r="0" 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4"/>
                          <a:srcRect/>
                          <a:stretch>
                            <a:fillRect/>
                          </a:stretch>
                        </pic:blipFill>
                        <pic:spPr>
                          <a:xfrm>
                            <a:off x="0" y="0"/>
                            <a:ext cx="831850" cy="292100"/>
                          </a:xfrm>
                          <a:prstGeom prst="rect">
                            <a:avLst/>
                          </a:prstGeom>
                          <a:ln/>
                        </pic:spPr>
                      </pic:pic>
                    </a:graphicData>
                  </a:graphic>
                </wp:inline>
              </w:drawing>
            </w:r>
          </w:p>
          <w:p w14:paraId="3C788C69" w14:textId="77777777" w:rsidR="00FB36C5" w:rsidRPr="00405ECB" w:rsidRDefault="00FB36C5" w:rsidP="00405ECB">
            <w:pPr>
              <w:spacing w:after="0" w:line="276" w:lineRule="auto"/>
              <w:jc w:val="center"/>
              <w:rPr>
                <w:rFonts w:asciiTheme="majorHAnsi" w:hAnsiTheme="majorHAnsi" w:cstheme="majorHAnsi"/>
                <w:b/>
                <w:sz w:val="24"/>
                <w:szCs w:val="24"/>
              </w:rPr>
            </w:pPr>
          </w:p>
        </w:tc>
      </w:tr>
    </w:tbl>
    <w:p w14:paraId="1F33738D" w14:textId="77777777" w:rsidR="00FB36C5" w:rsidRPr="00405ECB" w:rsidRDefault="00FB36C5" w:rsidP="00405ECB">
      <w:pPr>
        <w:spacing w:after="0" w:line="276" w:lineRule="auto"/>
        <w:jc w:val="both"/>
        <w:rPr>
          <w:rFonts w:asciiTheme="majorHAnsi" w:hAnsiTheme="majorHAnsi" w:cstheme="majorHAnsi"/>
          <w:sz w:val="24"/>
          <w:szCs w:val="24"/>
        </w:rPr>
        <w:sectPr w:rsidR="00FB36C5" w:rsidRPr="00405ECB" w:rsidSect="00093B46">
          <w:type w:val="continuous"/>
          <w:pgSz w:w="12240" w:h="15840"/>
          <w:pgMar w:top="1440" w:right="1440" w:bottom="1440" w:left="1440" w:header="708" w:footer="113" w:gutter="0"/>
          <w:cols w:space="720"/>
          <w:docGrid w:linePitch="299"/>
        </w:sectPr>
      </w:pPr>
    </w:p>
    <w:p w14:paraId="13E4AA63" w14:textId="77777777" w:rsidR="00FB36C5" w:rsidRPr="00405ECB" w:rsidRDefault="0042655A" w:rsidP="00405ECB">
      <w:pPr>
        <w:spacing w:after="0" w:line="276" w:lineRule="auto"/>
        <w:jc w:val="both"/>
        <w:rPr>
          <w:rFonts w:asciiTheme="majorHAnsi" w:hAnsiTheme="majorHAnsi" w:cstheme="majorHAnsi"/>
          <w:sz w:val="24"/>
          <w:szCs w:val="24"/>
        </w:rPr>
      </w:pPr>
      <w:r w:rsidRPr="00405ECB">
        <w:rPr>
          <w:rFonts w:asciiTheme="majorHAnsi" w:hAnsiTheme="majorHAnsi" w:cstheme="majorHAnsi"/>
          <w:sz w:val="24"/>
          <w:szCs w:val="24"/>
        </w:rPr>
        <w:t xml:space="preserve"> </w:t>
      </w:r>
    </w:p>
    <w:p w14:paraId="46695A5A" w14:textId="77777777" w:rsidR="00FB36C5" w:rsidRPr="00405ECB" w:rsidRDefault="00FB36C5" w:rsidP="00405ECB">
      <w:pPr>
        <w:spacing w:after="0" w:line="276" w:lineRule="auto"/>
        <w:jc w:val="both"/>
        <w:rPr>
          <w:rFonts w:asciiTheme="majorHAnsi" w:hAnsiTheme="majorHAnsi" w:cstheme="majorHAnsi"/>
          <w:sz w:val="24"/>
          <w:szCs w:val="24"/>
        </w:rPr>
      </w:pPr>
    </w:p>
    <w:p w14:paraId="52BC05FC" w14:textId="77777777" w:rsidR="00FB36C5" w:rsidRPr="00405ECB" w:rsidRDefault="00FB36C5" w:rsidP="00405ECB">
      <w:pPr>
        <w:spacing w:after="0" w:line="276" w:lineRule="auto"/>
        <w:jc w:val="both"/>
        <w:rPr>
          <w:rFonts w:asciiTheme="majorHAnsi" w:hAnsiTheme="majorHAnsi" w:cstheme="majorHAnsi"/>
          <w:sz w:val="24"/>
          <w:szCs w:val="24"/>
        </w:rPr>
      </w:pPr>
    </w:p>
    <w:sectPr w:rsidR="00FB36C5" w:rsidRPr="00405ECB">
      <w:type w:val="continuous"/>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3BAD" w14:textId="77777777" w:rsidR="00572426" w:rsidRDefault="00572426">
      <w:pPr>
        <w:spacing w:after="0" w:line="240" w:lineRule="auto"/>
      </w:pPr>
      <w:r>
        <w:separator/>
      </w:r>
    </w:p>
  </w:endnote>
  <w:endnote w:type="continuationSeparator" w:id="0">
    <w:p w14:paraId="78CA6E5B" w14:textId="77777777" w:rsidR="00572426" w:rsidRDefault="00572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12D9" w14:textId="7AF4CFF3" w:rsidR="00FB36C5" w:rsidRPr="006B0E12" w:rsidRDefault="006B0E12" w:rsidP="006B0E12">
    <w:pPr>
      <w:pStyle w:val="Footer"/>
      <w:rPr>
        <w:b/>
        <w:bCs/>
      </w:rPr>
    </w:pPr>
    <w:r>
      <w:rPr>
        <w:noProof/>
      </w:rPr>
      <mc:AlternateContent>
        <mc:Choice Requires="wps">
          <w:drawing>
            <wp:anchor distT="0" distB="0" distL="0" distR="0" simplePos="0" relativeHeight="251667456" behindDoc="0" locked="0" layoutInCell="1" allowOverlap="1" wp14:anchorId="616F0DE5" wp14:editId="7C74FEB4">
              <wp:simplePos x="0" y="0"/>
              <wp:positionH relativeFrom="rightMargin">
                <wp:posOffset>-336489</wp:posOffset>
              </wp:positionH>
              <wp:positionV relativeFrom="page">
                <wp:posOffset>9382760</wp:posOffset>
              </wp:positionV>
              <wp:extent cx="590550" cy="320040"/>
              <wp:effectExtent l="0" t="0" r="0" b="3810"/>
              <wp:wrapSquare wrapText="bothSides"/>
              <wp:docPr id="5520932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20040"/>
                      </a:xfrm>
                      <a:prstGeom prst="rect">
                        <a:avLst/>
                      </a:prstGeom>
                      <a:solidFill>
                        <a:srgbClr val="000000"/>
                      </a:solidFill>
                      <a:ln>
                        <a:noFill/>
                      </a:ln>
                      <a:extLst>
                        <a:ext uri="{91240B29-F687-4F45-9708-019B960494DF}">
                          <a14:hiddenLine xmlns:a14="http://schemas.microsoft.com/office/drawing/2010/main" w="38100" algn="ctr">
                            <a:solidFill>
                              <a:srgbClr val="000000"/>
                            </a:solidFill>
                            <a:miter lim="800000"/>
                            <a:headEnd/>
                            <a:tailEnd/>
                          </a14:hiddenLine>
                        </a:ext>
                      </a:extLst>
                    </wps:spPr>
                    <wps:txbx>
                      <w:txbxContent>
                        <w:p w14:paraId="62A2F237" w14:textId="1ECAAC5C" w:rsidR="006B0E12" w:rsidRDefault="006B0E12" w:rsidP="006B0E12">
                          <w:pPr>
                            <w:widowControl w:val="0"/>
                            <w:pBdr>
                              <w:top w:val="nil"/>
                              <w:left w:val="nil"/>
                              <w:bottom w:val="nil"/>
                              <w:right w:val="nil"/>
                              <w:between w:val="nil"/>
                            </w:pBdr>
                            <w:spacing w:after="0" w:line="276" w:lineRule="auto"/>
                            <w:rPr>
                              <w:color w:val="000000"/>
                            </w:rPr>
                          </w:pPr>
                          <w:r>
                            <w:rPr>
                              <w:color w:val="FFFFFF"/>
                              <w:sz w:val="28"/>
                              <w:szCs w:val="28"/>
                            </w:rPr>
                            <w:t>13</w:t>
                          </w:r>
                          <w:r w:rsidR="006100CF">
                            <w:rPr>
                              <w:color w:val="FFFFFF"/>
                              <w:sz w:val="28"/>
                              <w:szCs w:val="28"/>
                            </w:rPr>
                            <w:t>34</w:t>
                          </w:r>
                        </w:p>
                        <w:tbl>
                          <w:tblPr>
                            <w:tblW w:w="9765" w:type="dxa"/>
                            <w:tblLayout w:type="fixed"/>
                            <w:tblLook w:val="0400" w:firstRow="0" w:lastRow="0" w:firstColumn="0" w:lastColumn="0" w:noHBand="0" w:noVBand="1"/>
                          </w:tblPr>
                          <w:tblGrid>
                            <w:gridCol w:w="3969"/>
                            <w:gridCol w:w="1276"/>
                            <w:gridCol w:w="4520"/>
                          </w:tblGrid>
                          <w:tr w:rsidR="006B0E12" w14:paraId="51574E49" w14:textId="77777777" w:rsidTr="00C02396">
                            <w:trPr>
                              <w:trHeight w:val="151"/>
                            </w:trPr>
                            <w:tc>
                              <w:tcPr>
                                <w:tcW w:w="3969" w:type="dxa"/>
                                <w:tcBorders>
                                  <w:bottom w:val="single" w:sz="18" w:space="0" w:color="4F81BD"/>
                                </w:tcBorders>
                              </w:tcPr>
                              <w:p w14:paraId="2033171A" w14:textId="77777777" w:rsidR="006B0E12" w:rsidRDefault="006B0E12" w:rsidP="007A4D6B">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276" w:type="dxa"/>
                                <w:vMerge w:val="restart"/>
                                <w:vAlign w:val="center"/>
                              </w:tcPr>
                              <w:p w14:paraId="630A023B" w14:textId="77777777" w:rsidR="006B0E12" w:rsidRDefault="006B0E12" w:rsidP="007A4D6B">
                                <w:pPr>
                                  <w:pBdr>
                                    <w:top w:val="nil"/>
                                    <w:left w:val="nil"/>
                                    <w:bottom w:val="nil"/>
                                    <w:right w:val="nil"/>
                                    <w:between w:val="nil"/>
                                  </w:pBdr>
                                  <w:spacing w:after="0" w:line="240" w:lineRule="auto"/>
                                  <w:ind w:left="30" w:right="-112"/>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color w:val="000000"/>
                                  </w:rPr>
                                  <w:t>1209</w:t>
                                </w:r>
                                <w:r>
                                  <w:rPr>
                                    <w:color w:val="000000"/>
                                  </w:rPr>
                                  <w:fldChar w:fldCharType="end"/>
                                </w:r>
                              </w:p>
                            </w:tc>
                            <w:tc>
                              <w:tcPr>
                                <w:tcW w:w="4520" w:type="dxa"/>
                                <w:tcBorders>
                                  <w:bottom w:val="single" w:sz="18" w:space="0" w:color="4F81BD"/>
                                </w:tcBorders>
                              </w:tcPr>
                              <w:p w14:paraId="12047DB5" w14:textId="77777777" w:rsidR="006B0E12" w:rsidRDefault="006B0E12" w:rsidP="007A4D6B">
                                <w:pPr>
                                  <w:pBdr>
                                    <w:top w:val="nil"/>
                                    <w:left w:val="nil"/>
                                    <w:bottom w:val="nil"/>
                                    <w:right w:val="nil"/>
                                    <w:between w:val="nil"/>
                                  </w:pBdr>
                                  <w:tabs>
                                    <w:tab w:val="center" w:pos="4680"/>
                                    <w:tab w:val="right" w:pos="9360"/>
                                  </w:tabs>
                                  <w:spacing w:after="0" w:line="240" w:lineRule="auto"/>
                                  <w:ind w:left="-205"/>
                                  <w:jc w:val="right"/>
                                  <w:rPr>
                                    <w:rFonts w:ascii="Cambria" w:eastAsia="Cambria" w:hAnsi="Cambria" w:cs="Cambria"/>
                                    <w:color w:val="000000"/>
                                  </w:rPr>
                                </w:pPr>
                                <w:r>
                                  <w:rPr>
                                    <w:rFonts w:ascii="Cambria" w:eastAsia="Cambria" w:hAnsi="Cambria" w:cs="Cambria"/>
                                    <w:color w:val="000000"/>
                                  </w:rPr>
                                  <w:t>Asian Journal of Engineering, Social and Health</w:t>
                                </w:r>
                              </w:p>
                            </w:tc>
                          </w:tr>
                          <w:tr w:rsidR="006B0E12" w14:paraId="0C12F7CD" w14:textId="77777777" w:rsidTr="00C02396">
                            <w:trPr>
                              <w:trHeight w:val="150"/>
                            </w:trPr>
                            <w:tc>
                              <w:tcPr>
                                <w:tcW w:w="3969" w:type="dxa"/>
                                <w:tcBorders>
                                  <w:top w:val="single" w:sz="18" w:space="0" w:color="4F81BD"/>
                                </w:tcBorders>
                              </w:tcPr>
                              <w:p w14:paraId="1D6335F1" w14:textId="77777777" w:rsidR="006B0E12" w:rsidRDefault="006B0E12" w:rsidP="007A4D6B">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276" w:type="dxa"/>
                                <w:vMerge/>
                                <w:vAlign w:val="center"/>
                              </w:tcPr>
                              <w:p w14:paraId="021915DA" w14:textId="77777777" w:rsidR="006B0E12" w:rsidRDefault="006B0E12" w:rsidP="007A4D6B">
                                <w:pPr>
                                  <w:widowControl w:val="0"/>
                                  <w:pBdr>
                                    <w:top w:val="nil"/>
                                    <w:left w:val="nil"/>
                                    <w:bottom w:val="nil"/>
                                    <w:right w:val="nil"/>
                                    <w:between w:val="nil"/>
                                  </w:pBdr>
                                  <w:spacing w:after="0" w:line="276" w:lineRule="auto"/>
                                  <w:rPr>
                                    <w:rFonts w:ascii="Cambria" w:eastAsia="Cambria" w:hAnsi="Cambria" w:cs="Cambria"/>
                                    <w:b/>
                                    <w:color w:val="000000"/>
                                  </w:rPr>
                                </w:pPr>
                              </w:p>
                            </w:tc>
                            <w:tc>
                              <w:tcPr>
                                <w:tcW w:w="4520" w:type="dxa"/>
                                <w:tcBorders>
                                  <w:top w:val="single" w:sz="18" w:space="0" w:color="4F81BD"/>
                                </w:tcBorders>
                              </w:tcPr>
                              <w:p w14:paraId="1768019F" w14:textId="77777777" w:rsidR="006B0E12" w:rsidRDefault="006B0E12" w:rsidP="007A4D6B">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t>Volume 2, No. 10 October 2023</w:t>
                                </w:r>
                              </w:p>
                            </w:tc>
                          </w:tr>
                        </w:tbl>
                        <w:p w14:paraId="4EB91F15" w14:textId="77777777" w:rsidR="006B0E12" w:rsidRPr="009003FC" w:rsidRDefault="006B0E12" w:rsidP="006B0E12">
                          <w:pPr>
                            <w:pStyle w:val="Footer"/>
                          </w:pPr>
                        </w:p>
                        <w:p w14:paraId="2EEA3788" w14:textId="77777777" w:rsidR="006B0E12" w:rsidRPr="00D40EA1" w:rsidRDefault="006B0E12" w:rsidP="006B0E12">
                          <w:pPr>
                            <w:jc w:val="center"/>
                            <w:rPr>
                              <w:color w:val="FFFFFF"/>
                              <w:sz w:val="28"/>
                              <w:szCs w:val="28"/>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616F0DE5" id="Rectangle 40" o:spid="_x0000_s1026" style="position:absolute;margin-left:-26.5pt;margin-top:738.8pt;width:46.5pt;height:25.2pt;z-index:251667456;visibility:visible;mso-wrap-style:square;mso-width-percent:0;mso-height-percent:0;mso-wrap-distance-left:0;mso-wrap-distance-top:0;mso-wrap-distance-right:0;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" fillcolor="black" stroked="f" strokeweight="3pt">
              <v:textbox>
                <w:txbxContent>
                  <w:p w14:paraId="62A2F237" w14:textId="1ECAAC5C" w:rsidR="006B0E12" w:rsidRDefault="006B0E12" w:rsidP="006B0E12">
                    <w:pPr>
                      <w:widowControl w:val="0"/>
                      <w:pBdr>
                        <w:top w:val="nil"/>
                        <w:left w:val="nil"/>
                        <w:bottom w:val="nil"/>
                        <w:right w:val="nil"/>
                        <w:between w:val="nil"/>
                      </w:pBdr>
                      <w:spacing w:after="0" w:line="276" w:lineRule="auto"/>
                      <w:rPr>
                        <w:color w:val="000000"/>
                      </w:rPr>
                    </w:pPr>
                    <w:r>
                      <w:rPr>
                        <w:color w:val="FFFFFF"/>
                        <w:sz w:val="28"/>
                        <w:szCs w:val="28"/>
                      </w:rPr>
                      <w:t>13</w:t>
                    </w:r>
                    <w:r w:rsidR="006100CF">
                      <w:rPr>
                        <w:color w:val="FFFFFF"/>
                        <w:sz w:val="28"/>
                        <w:szCs w:val="28"/>
                      </w:rPr>
                      <w:t>34</w:t>
                    </w:r>
                  </w:p>
                  <w:tbl>
                    <w:tblPr>
                      <w:tblW w:w="9765" w:type="dxa"/>
                      <w:tblLayout w:type="fixed"/>
                      <w:tblLook w:val="0400" w:firstRow="0" w:lastRow="0" w:firstColumn="0" w:lastColumn="0" w:noHBand="0" w:noVBand="1"/>
                    </w:tblPr>
                    <w:tblGrid>
                      <w:gridCol w:w="3969"/>
                      <w:gridCol w:w="1276"/>
                      <w:gridCol w:w="4520"/>
                    </w:tblGrid>
                    <w:tr w:rsidR="006B0E12" w14:paraId="51574E49" w14:textId="77777777" w:rsidTr="00C02396">
                      <w:trPr>
                        <w:trHeight w:val="151"/>
                      </w:trPr>
                      <w:tc>
                        <w:tcPr>
                          <w:tcW w:w="3969" w:type="dxa"/>
                          <w:tcBorders>
                            <w:bottom w:val="single" w:sz="18" w:space="0" w:color="4F81BD"/>
                          </w:tcBorders>
                        </w:tcPr>
                        <w:p w14:paraId="2033171A" w14:textId="77777777" w:rsidR="006B0E12" w:rsidRDefault="006B0E12" w:rsidP="007A4D6B">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276" w:type="dxa"/>
                          <w:vMerge w:val="restart"/>
                          <w:vAlign w:val="center"/>
                        </w:tcPr>
                        <w:p w14:paraId="630A023B" w14:textId="77777777" w:rsidR="006B0E12" w:rsidRDefault="006B0E12" w:rsidP="007A4D6B">
                          <w:pPr>
                            <w:pBdr>
                              <w:top w:val="nil"/>
                              <w:left w:val="nil"/>
                              <w:bottom w:val="nil"/>
                              <w:right w:val="nil"/>
                              <w:between w:val="nil"/>
                            </w:pBdr>
                            <w:spacing w:after="0" w:line="240" w:lineRule="auto"/>
                            <w:ind w:left="30" w:right="-112"/>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color w:val="000000"/>
                            </w:rPr>
                            <w:t>1209</w:t>
                          </w:r>
                          <w:r>
                            <w:rPr>
                              <w:color w:val="000000"/>
                            </w:rPr>
                            <w:fldChar w:fldCharType="end"/>
                          </w:r>
                        </w:p>
                      </w:tc>
                      <w:tc>
                        <w:tcPr>
                          <w:tcW w:w="4520" w:type="dxa"/>
                          <w:tcBorders>
                            <w:bottom w:val="single" w:sz="18" w:space="0" w:color="4F81BD"/>
                          </w:tcBorders>
                        </w:tcPr>
                        <w:p w14:paraId="12047DB5" w14:textId="77777777" w:rsidR="006B0E12" w:rsidRDefault="006B0E12" w:rsidP="007A4D6B">
                          <w:pPr>
                            <w:pBdr>
                              <w:top w:val="nil"/>
                              <w:left w:val="nil"/>
                              <w:bottom w:val="nil"/>
                              <w:right w:val="nil"/>
                              <w:between w:val="nil"/>
                            </w:pBdr>
                            <w:tabs>
                              <w:tab w:val="center" w:pos="4680"/>
                              <w:tab w:val="right" w:pos="9360"/>
                            </w:tabs>
                            <w:spacing w:after="0" w:line="240" w:lineRule="auto"/>
                            <w:ind w:left="-205"/>
                            <w:jc w:val="right"/>
                            <w:rPr>
                              <w:rFonts w:ascii="Cambria" w:eastAsia="Cambria" w:hAnsi="Cambria" w:cs="Cambria"/>
                              <w:color w:val="000000"/>
                            </w:rPr>
                          </w:pPr>
                          <w:r>
                            <w:rPr>
                              <w:rFonts w:ascii="Cambria" w:eastAsia="Cambria" w:hAnsi="Cambria" w:cs="Cambria"/>
                              <w:color w:val="000000"/>
                            </w:rPr>
                            <w:t>Asian Journal of Engineering, Social and Health</w:t>
                          </w:r>
                        </w:p>
                      </w:tc>
                    </w:tr>
                    <w:tr w:rsidR="006B0E12" w14:paraId="0C12F7CD" w14:textId="77777777" w:rsidTr="00C02396">
                      <w:trPr>
                        <w:trHeight w:val="150"/>
                      </w:trPr>
                      <w:tc>
                        <w:tcPr>
                          <w:tcW w:w="3969" w:type="dxa"/>
                          <w:tcBorders>
                            <w:top w:val="single" w:sz="18" w:space="0" w:color="4F81BD"/>
                          </w:tcBorders>
                        </w:tcPr>
                        <w:p w14:paraId="1D6335F1" w14:textId="77777777" w:rsidR="006B0E12" w:rsidRDefault="006B0E12" w:rsidP="007A4D6B">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276" w:type="dxa"/>
                          <w:vMerge/>
                          <w:vAlign w:val="center"/>
                        </w:tcPr>
                        <w:p w14:paraId="021915DA" w14:textId="77777777" w:rsidR="006B0E12" w:rsidRDefault="006B0E12" w:rsidP="007A4D6B">
                          <w:pPr>
                            <w:widowControl w:val="0"/>
                            <w:pBdr>
                              <w:top w:val="nil"/>
                              <w:left w:val="nil"/>
                              <w:bottom w:val="nil"/>
                              <w:right w:val="nil"/>
                              <w:between w:val="nil"/>
                            </w:pBdr>
                            <w:spacing w:after="0" w:line="276" w:lineRule="auto"/>
                            <w:rPr>
                              <w:rFonts w:ascii="Cambria" w:eastAsia="Cambria" w:hAnsi="Cambria" w:cs="Cambria"/>
                              <w:b/>
                              <w:color w:val="000000"/>
                            </w:rPr>
                          </w:pPr>
                        </w:p>
                      </w:tc>
                      <w:tc>
                        <w:tcPr>
                          <w:tcW w:w="4520" w:type="dxa"/>
                          <w:tcBorders>
                            <w:top w:val="single" w:sz="18" w:space="0" w:color="4F81BD"/>
                          </w:tcBorders>
                        </w:tcPr>
                        <w:p w14:paraId="1768019F" w14:textId="77777777" w:rsidR="006B0E12" w:rsidRDefault="006B0E12" w:rsidP="007A4D6B">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t>Volume 2, No. 10 October 2023</w:t>
                          </w:r>
                        </w:p>
                      </w:tc>
                    </w:tr>
                  </w:tbl>
                  <w:p w14:paraId="4EB91F15" w14:textId="77777777" w:rsidR="006B0E12" w:rsidRPr="009003FC" w:rsidRDefault="006B0E12" w:rsidP="006B0E12">
                    <w:pPr>
                      <w:pStyle w:val="Footer"/>
                    </w:pPr>
                  </w:p>
                  <w:p w14:paraId="2EEA3788" w14:textId="77777777" w:rsidR="006B0E12" w:rsidRPr="00D40EA1" w:rsidRDefault="006B0E12" w:rsidP="006B0E12">
                    <w:pPr>
                      <w:jc w:val="center"/>
                      <w:rPr>
                        <w:color w:val="FFFFFF"/>
                        <w:sz w:val="28"/>
                        <w:szCs w:val="28"/>
                      </w:rPr>
                    </w:pPr>
                  </w:p>
                </w:txbxContent>
              </v:textbox>
              <w10:wrap type="square" anchorx="margin" anchory="page"/>
            </v:rect>
          </w:pict>
        </mc:Fallback>
      </mc:AlternateContent>
    </w:r>
    <w:r>
      <w:rPr>
        <w:noProof/>
      </w:rPr>
      <mc:AlternateContent>
        <mc:Choice Requires="wpg">
          <w:drawing>
            <wp:anchor distT="0" distB="0" distL="0" distR="0" simplePos="0" relativeHeight="251668480" behindDoc="0" locked="0" layoutInCell="1" allowOverlap="1" wp14:anchorId="2F5C2A8A" wp14:editId="7DD8C061">
              <wp:simplePos x="0" y="0"/>
              <wp:positionH relativeFrom="page">
                <wp:posOffset>596900</wp:posOffset>
              </wp:positionH>
              <wp:positionV relativeFrom="page">
                <wp:posOffset>9388475</wp:posOffset>
              </wp:positionV>
              <wp:extent cx="5943600" cy="320040"/>
              <wp:effectExtent l="0" t="0" r="0" b="3810"/>
              <wp:wrapSquare wrapText="bothSides"/>
              <wp:docPr id="71880811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20040"/>
                        <a:chOff x="0" y="0"/>
                        <a:chExt cx="5962650" cy="323851"/>
                      </a:xfrm>
                    </wpg:grpSpPr>
                    <wps:wsp>
                      <wps:cNvPr id="1293530296" name="Rectangle 38"/>
                      <wps:cNvSpPr>
                        <a:spLocks noChangeArrowheads="1"/>
                      </wps:cNvSpPr>
                      <wps:spPr bwMode="auto">
                        <a:xfrm>
                          <a:off x="19050" y="0"/>
                          <a:ext cx="5943600" cy="18826"/>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622929357" name="Text Box 39"/>
                      <wps:cNvSpPr txBox="1">
                        <a:spLocks noChangeArrowheads="1"/>
                      </wps:cNvSpPr>
                      <wps:spPr bwMode="auto">
                        <a:xfrm>
                          <a:off x="0" y="66676"/>
                          <a:ext cx="5943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34F10F" w14:textId="77777777" w:rsidR="006B0E12" w:rsidRPr="003E1195" w:rsidRDefault="006B0E12" w:rsidP="006B0E12">
                            <w:pPr>
                              <w:jc w:val="right"/>
                              <w:rPr>
                                <w:b/>
                                <w:color w:val="000000"/>
                              </w:rPr>
                            </w:pPr>
                            <w:r w:rsidRPr="003E1195">
                              <w:rPr>
                                <w:b/>
                                <w:color w:val="000000"/>
                                <w:sz w:val="24"/>
                              </w:rPr>
                              <w:t xml:space="preserve">Journal of Engineering, Social and Health - Vol </w:t>
                            </w:r>
                            <w:r>
                              <w:rPr>
                                <w:b/>
                                <w:color w:val="000000"/>
                                <w:sz w:val="24"/>
                              </w:rPr>
                              <w:t xml:space="preserve">2 </w:t>
                            </w:r>
                            <w:r w:rsidRPr="003E1195">
                              <w:rPr>
                                <w:b/>
                                <w:color w:val="000000"/>
                                <w:sz w:val="24"/>
                              </w:rPr>
                              <w:t>(</w:t>
                            </w:r>
                            <w:r>
                              <w:rPr>
                                <w:b/>
                                <w:color w:val="000000"/>
                                <w:sz w:val="24"/>
                              </w:rPr>
                              <w:t>11</w:t>
                            </w:r>
                            <w:r w:rsidRPr="003E1195">
                              <w:rPr>
                                <w:b/>
                                <w:color w:val="000000"/>
                                <w:sz w:val="24"/>
                              </w:rPr>
                              <w:t xml:space="preserve">) </w:t>
                            </w:r>
                            <w:r>
                              <w:rPr>
                                <w:b/>
                                <w:color w:val="000000"/>
                                <w:sz w:val="24"/>
                              </w:rPr>
                              <w:t>November</w:t>
                            </w:r>
                            <w:r w:rsidRPr="003E1195">
                              <w:rPr>
                                <w:b/>
                                <w:color w:val="000000"/>
                                <w:sz w:val="24"/>
                              </w:rPr>
                              <w:t xml:space="preserve"> 202</w:t>
                            </w:r>
                            <w:r>
                              <w:rPr>
                                <w:b/>
                                <w:color w:val="000000"/>
                                <w:sz w:val="24"/>
                              </w:rPr>
                              <w:t>3</w:t>
                            </w:r>
                          </w:p>
                        </w:txbxContent>
                      </wps:txbx>
                      <wps:bodyPr rot="0" vert="horz" wrap="square" lIns="91440" tIns="45720" rIns="91440" bIns="0" anchor="b" anchorCtr="0" upright="1">
                        <a:noAutofit/>
                      </wps:bodyPr>
                    </wps:wsp>
                  </wpg:wgp>
                </a:graphicData>
              </a:graphic>
              <wp14:sizeRelH relativeFrom="margin">
                <wp14:pctWidth>100000</wp14:pctWidth>
              </wp14:sizeRelH>
              <wp14:sizeRelV relativeFrom="margin">
                <wp14:pctHeight>0</wp14:pctHeight>
              </wp14:sizeRelV>
            </wp:anchor>
          </w:drawing>
        </mc:Choice>
        <mc:Fallback>
          <w:pict>
            <v:group w14:anchorId="2F5C2A8A" id="Group 37" o:spid="_x0000_s1027" style="position:absolute;margin-left:47pt;margin-top:739.25pt;width:468pt;height:25.2pt;z-index:251668480;mso-width-percent:1000;mso-wrap-distance-left:0;mso-wrap-distance-right:0;mso-position-horizontal-relative:page;mso-position-vertical-relative:page;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" fillcolor="black"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" filled="f" stroked="f" strokeweight=".5pt">
                <v:textbox inset=",,,0">
                  <w:txbxContent>
                    <w:p w14:paraId="2A34F10F" w14:textId="77777777" w:rsidR="006B0E12" w:rsidRPr="003E1195" w:rsidRDefault="006B0E12" w:rsidP="006B0E12">
                      <w:pPr>
                        <w:jc w:val="right"/>
                        <w:rPr>
                          <w:b/>
                          <w:color w:val="000000"/>
                        </w:rPr>
                      </w:pPr>
                      <w:r w:rsidRPr="003E1195">
                        <w:rPr>
                          <w:b/>
                          <w:color w:val="000000"/>
                          <w:sz w:val="24"/>
                        </w:rPr>
                        <w:t xml:space="preserve">Journal of Engineering, Social and Health - Vol </w:t>
                      </w:r>
                      <w:r>
                        <w:rPr>
                          <w:b/>
                          <w:color w:val="000000"/>
                          <w:sz w:val="24"/>
                        </w:rPr>
                        <w:t xml:space="preserve">2 </w:t>
                      </w:r>
                      <w:r w:rsidRPr="003E1195">
                        <w:rPr>
                          <w:b/>
                          <w:color w:val="000000"/>
                          <w:sz w:val="24"/>
                        </w:rPr>
                        <w:t>(</w:t>
                      </w:r>
                      <w:r>
                        <w:rPr>
                          <w:b/>
                          <w:color w:val="000000"/>
                          <w:sz w:val="24"/>
                        </w:rPr>
                        <w:t>11</w:t>
                      </w:r>
                      <w:r w:rsidRPr="003E1195">
                        <w:rPr>
                          <w:b/>
                          <w:color w:val="000000"/>
                          <w:sz w:val="24"/>
                        </w:rPr>
                        <w:t xml:space="preserve">) </w:t>
                      </w:r>
                      <w:r>
                        <w:rPr>
                          <w:b/>
                          <w:color w:val="000000"/>
                          <w:sz w:val="24"/>
                        </w:rPr>
                        <w:t>November</w:t>
                      </w:r>
                      <w:r w:rsidRPr="003E1195">
                        <w:rPr>
                          <w:b/>
                          <w:color w:val="000000"/>
                          <w:sz w:val="24"/>
                        </w:rPr>
                        <w:t xml:space="preserve"> 202</w:t>
                      </w:r>
                      <w:r>
                        <w:rPr>
                          <w:b/>
                          <w:color w:val="000000"/>
                          <w:sz w:val="24"/>
                        </w:rPr>
                        <w:t>3</w:t>
                      </w:r>
                    </w:p>
                  </w:txbxContent>
                </v:textbox>
              </v:shape>
              <w10:wrap type="square" anchorx="page" anchory="page"/>
            </v:group>
          </w:pict>
        </mc:Fallback>
      </mc:AlternateContent>
    </w:r>
    <w:r>
      <w:rPr>
        <w:noProof/>
      </w:rPr>
      <mc:AlternateContent>
        <mc:Choice Requires="wps">
          <w:drawing>
            <wp:anchor distT="0" distB="0" distL="0" distR="0" simplePos="0" relativeHeight="251665408" behindDoc="0" locked="0" layoutInCell="1" hidden="0" allowOverlap="1" wp14:anchorId="7F5937AE" wp14:editId="1CBA0486">
              <wp:simplePos x="0" y="0"/>
              <wp:positionH relativeFrom="column">
                <wp:posOffset>5930900</wp:posOffset>
              </wp:positionH>
              <wp:positionV relativeFrom="paragraph">
                <wp:posOffset>9321800</wp:posOffset>
              </wp:positionV>
              <wp:extent cx="466725" cy="329565"/>
              <wp:effectExtent l="0" t="0" r="0" b="0"/>
              <wp:wrapSquare wrapText="bothSides" distT="0" distB="0" distL="0" distR="0"/>
              <wp:docPr id="1230481517" name="Rectangle 1230481517"/>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319806CB" w14:textId="77777777" w:rsidR="006B0E12" w:rsidRDefault="006B0E12" w:rsidP="006B0E12">
                          <w:pPr>
                            <w:spacing w:line="258" w:lineRule="auto"/>
                            <w:jc w:val="center"/>
                            <w:textDirection w:val="btLr"/>
                          </w:pPr>
                          <w:r>
                            <w:rPr>
                              <w:color w:val="FFFFFF"/>
                              <w:sz w:val="28"/>
                            </w:rPr>
                            <w:t>20</w:t>
                          </w:r>
                        </w:p>
                      </w:txbxContent>
                    </wps:txbx>
                    <wps:bodyPr spcFirstLastPara="1" wrap="square" lIns="91425" tIns="45700" rIns="91425" bIns="45700" anchor="b" anchorCtr="0">
                      <a:noAutofit/>
                    </wps:bodyPr>
                  </wps:wsp>
                </a:graphicData>
              </a:graphic>
            </wp:anchor>
          </w:drawing>
        </mc:Choice>
        <mc:Fallback>
          <w:pict>
            <v:rect w14:anchorId="7F5937AE" id="Rectangle 1230481517" o:spid="_x0000_s1030" style="position:absolute;margin-left:467pt;margin-top:734pt;width:36.75pt;height:25.95pt;z-index:25166540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" fillcolor="black" stroked="f">
              <v:textbox inset="2.53958mm,1.2694mm,2.53958mm,1.2694mm">
                <w:txbxContent>
                  <w:p w14:paraId="319806CB" w14:textId="77777777" w:rsidR="006B0E12" w:rsidRDefault="006B0E12" w:rsidP="006B0E12">
                    <w:pPr>
                      <w:spacing w:line="258" w:lineRule="auto"/>
                      <w:jc w:val="center"/>
                      <w:textDirection w:val="btLr"/>
                    </w:pPr>
                    <w:r>
                      <w:rPr>
                        <w:color w:val="FFFFFF"/>
                        <w:sz w:val="28"/>
                      </w:rPr>
                      <w:t>20</w:t>
                    </w:r>
                  </w:p>
                </w:txbxContent>
              </v:textbox>
              <w10:wrap type="square"/>
            </v:rect>
          </w:pict>
        </mc:Fallback>
      </mc:AlternateContent>
    </w:r>
    <w:r>
      <w:rPr>
        <w:noProof/>
      </w:rPr>
      <mc:AlternateContent>
        <mc:Choice Requires="wpg">
          <w:drawing>
            <wp:anchor distT="0" distB="0" distL="0" distR="0" simplePos="0" relativeHeight="251666432" behindDoc="0" locked="0" layoutInCell="1" hidden="0" allowOverlap="1" wp14:anchorId="274C5B54" wp14:editId="37586668">
              <wp:simplePos x="0" y="0"/>
              <wp:positionH relativeFrom="column">
                <wp:posOffset>0</wp:posOffset>
              </wp:positionH>
              <wp:positionV relativeFrom="paragraph">
                <wp:posOffset>9334500</wp:posOffset>
              </wp:positionV>
              <wp:extent cx="5943600" cy="320040"/>
              <wp:effectExtent l="0" t="0" r="0" b="0"/>
              <wp:wrapSquare wrapText="bothSides" distT="0" distB="0" distL="0" distR="0"/>
              <wp:docPr id="1802969703" name="Group 1802969703"/>
              <wp:cNvGraphicFramePr/>
              <a:graphic xmlns:a="http://schemas.openxmlformats.org/drawingml/2006/main">
                <a:graphicData uri="http://schemas.microsoft.com/office/word/2010/wordprocessingGroup">
                  <wpg:wgp>
                    <wpg:cNvGrpSpPr/>
                    <wpg:grpSpPr>
                      <a:xfrm>
                        <a:off x="0" y="0"/>
                        <a:ext cx="5943600" cy="320040"/>
                        <a:chOff x="2374200" y="3619975"/>
                        <a:chExt cx="5943600" cy="320050"/>
                      </a:xfrm>
                    </wpg:grpSpPr>
                    <wpg:grpSp>
                      <wpg:cNvPr id="660356669" name="Group 660356669"/>
                      <wpg:cNvGrpSpPr/>
                      <wpg:grpSpPr>
                        <a:xfrm>
                          <a:off x="2374200" y="3619980"/>
                          <a:ext cx="5943600" cy="320040"/>
                          <a:chOff x="0" y="0"/>
                          <a:chExt cx="5962650" cy="323851"/>
                        </a:xfrm>
                      </wpg:grpSpPr>
                      <wps:wsp>
                        <wps:cNvPr id="1835792192" name="Rectangle 1835792192"/>
                        <wps:cNvSpPr/>
                        <wps:spPr>
                          <a:xfrm>
                            <a:off x="0" y="0"/>
                            <a:ext cx="5962650" cy="323850"/>
                          </a:xfrm>
                          <a:prstGeom prst="rect">
                            <a:avLst/>
                          </a:prstGeom>
                          <a:noFill/>
                          <a:ln>
                            <a:noFill/>
                          </a:ln>
                        </wps:spPr>
                        <wps:txbx>
                          <w:txbxContent>
                            <w:p w14:paraId="0D376F6B" w14:textId="77777777" w:rsidR="006B0E12" w:rsidRDefault="006B0E12" w:rsidP="006B0E12">
                              <w:pPr>
                                <w:spacing w:after="0" w:line="240" w:lineRule="auto"/>
                                <w:textDirection w:val="btLr"/>
                              </w:pPr>
                            </w:p>
                          </w:txbxContent>
                        </wps:txbx>
                        <wps:bodyPr spcFirstLastPara="1" wrap="square" lIns="91425" tIns="91425" rIns="91425" bIns="91425" anchor="ctr" anchorCtr="0">
                          <a:noAutofit/>
                        </wps:bodyPr>
                      </wps:wsp>
                      <wps:wsp>
                        <wps:cNvPr id="1504182785" name="Rectangle 1504182785"/>
                        <wps:cNvSpPr/>
                        <wps:spPr>
                          <a:xfrm>
                            <a:off x="19050" y="0"/>
                            <a:ext cx="5943600" cy="18826"/>
                          </a:xfrm>
                          <a:prstGeom prst="rect">
                            <a:avLst/>
                          </a:prstGeom>
                          <a:solidFill>
                            <a:srgbClr val="000000"/>
                          </a:solidFill>
                          <a:ln>
                            <a:noFill/>
                          </a:ln>
                        </wps:spPr>
                        <wps:txbx>
                          <w:txbxContent>
                            <w:p w14:paraId="5630C369" w14:textId="77777777" w:rsidR="006B0E12" w:rsidRDefault="006B0E12" w:rsidP="006B0E12">
                              <w:pPr>
                                <w:spacing w:after="0" w:line="240" w:lineRule="auto"/>
                                <w:textDirection w:val="btLr"/>
                              </w:pPr>
                            </w:p>
                          </w:txbxContent>
                        </wps:txbx>
                        <wps:bodyPr spcFirstLastPara="1" wrap="square" lIns="91425" tIns="91425" rIns="91425" bIns="91425" anchor="ctr" anchorCtr="0">
                          <a:noAutofit/>
                        </wps:bodyPr>
                      </wps:wsp>
                      <wps:wsp>
                        <wps:cNvPr id="1745565582" name="Rectangle 1745565582"/>
                        <wps:cNvSpPr/>
                        <wps:spPr>
                          <a:xfrm>
                            <a:off x="0" y="66676"/>
                            <a:ext cx="5943600" cy="257175"/>
                          </a:xfrm>
                          <a:prstGeom prst="rect">
                            <a:avLst/>
                          </a:prstGeom>
                          <a:noFill/>
                          <a:ln>
                            <a:noFill/>
                          </a:ln>
                        </wps:spPr>
                        <wps:txbx>
                          <w:txbxContent>
                            <w:p w14:paraId="5BC7B328" w14:textId="77777777" w:rsidR="006B0E12" w:rsidRDefault="006B0E12" w:rsidP="006B0E12">
                              <w:pPr>
                                <w:spacing w:line="258" w:lineRule="auto"/>
                                <w:jc w:val="right"/>
                                <w:textDirection w:val="btLr"/>
                              </w:pPr>
                              <w:r>
                                <w:rPr>
                                  <w:b/>
                                  <w:color w:val="000000"/>
                                  <w:sz w:val="24"/>
                                </w:rPr>
                                <w:t>Journal of Engineering, Social and Health - Vol 2 (10) October 2023</w:t>
                              </w:r>
                            </w:p>
                          </w:txbxContent>
                        </wps:txbx>
                        <wps:bodyPr spcFirstLastPara="1" wrap="square" lIns="91425" tIns="45700" rIns="91425" bIns="0" anchor="b" anchorCtr="0">
                          <a:noAutofit/>
                        </wps:bodyPr>
                      </wps:wsp>
                    </wpg:grpSp>
                  </wpg:wgp>
                </a:graphicData>
              </a:graphic>
            </wp:anchor>
          </w:drawing>
        </mc:Choice>
        <mc:Fallback>
          <w:pict>
            <v:group w14:anchorId="274C5B54" id="Group 1802969703" o:spid="_x0000_s1031" style="position:absolute;margin-left:0;margin-top:735pt;width:468pt;height:25.2pt;z-index:251666432;mso-wrap-distance-left:0;mso-wrap-distance-right:0" coordorigin="23742,36199" coordsize="5943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">
              <v:group id="Group 660356669" o:spid="_x0000_s1032" style="position:absolute;left:23742;top:36199;width:59436;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">
                <v:rect id="Rectangle 1835792192" o:spid="_x0000_s1033"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" filled="f" stroked="f">
                  <v:textbox inset="2.53958mm,2.53958mm,2.53958mm,2.53958mm">
                    <w:txbxContent>
                      <w:p w14:paraId="0D376F6B" w14:textId="77777777" w:rsidR="006B0E12" w:rsidRDefault="006B0E12" w:rsidP="006B0E12">
                        <w:pPr>
                          <w:spacing w:after="0" w:line="240" w:lineRule="auto"/>
                          <w:textDirection w:val="btLr"/>
                        </w:pPr>
                      </w:p>
                    </w:txbxContent>
                  </v:textbox>
                </v:rect>
                <v:rect id="Rectangle 1504182785" o:spid="_x0000_s1034"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" fillcolor="black" stroked="f">
                  <v:textbox inset="2.53958mm,2.53958mm,2.53958mm,2.53958mm">
                    <w:txbxContent>
                      <w:p w14:paraId="5630C369" w14:textId="77777777" w:rsidR="006B0E12" w:rsidRDefault="006B0E12" w:rsidP="006B0E12">
                        <w:pPr>
                          <w:spacing w:after="0" w:line="240" w:lineRule="auto"/>
                          <w:textDirection w:val="btLr"/>
                        </w:pPr>
                      </w:p>
                    </w:txbxContent>
                  </v:textbox>
                </v:rect>
                <v:rect id="Rectangle 1745565582" o:spid="_x0000_s1035"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" filled="f" stroked="f">
                  <v:textbox inset="2.53958mm,1.2694mm,2.53958mm,0">
                    <w:txbxContent>
                      <w:p w14:paraId="5BC7B328" w14:textId="77777777" w:rsidR="006B0E12" w:rsidRDefault="006B0E12" w:rsidP="006B0E12">
                        <w:pPr>
                          <w:spacing w:line="258" w:lineRule="auto"/>
                          <w:jc w:val="right"/>
                          <w:textDirection w:val="btLr"/>
                        </w:pPr>
                        <w:r>
                          <w:rPr>
                            <w:b/>
                            <w:color w:val="000000"/>
                            <w:sz w:val="24"/>
                          </w:rPr>
                          <w:t>Journal of Engineering, Social and Health - Vol 2 (10) October 2023</w:t>
                        </w:r>
                      </w:p>
                    </w:txbxContent>
                  </v:textbox>
                </v:rect>
              </v:group>
              <w10:wrap type="square"/>
            </v:group>
          </w:pict>
        </mc:Fallback>
      </mc:AlternateContent>
    </w:r>
    <w:r w:rsidR="0042655A">
      <w:rPr>
        <w:noProof/>
      </w:rPr>
      <mc:AlternateContent>
        <mc:Choice Requires="wps">
          <w:drawing>
            <wp:anchor distT="0" distB="0" distL="0" distR="0" simplePos="0" relativeHeight="251657216" behindDoc="0" locked="0" layoutInCell="1" hidden="0" allowOverlap="1" wp14:anchorId="6A1870FA" wp14:editId="46B315A4">
              <wp:simplePos x="0" y="0"/>
              <wp:positionH relativeFrom="column">
                <wp:posOffset>5930900</wp:posOffset>
              </wp:positionH>
              <wp:positionV relativeFrom="paragraph">
                <wp:posOffset>9321800</wp:posOffset>
              </wp:positionV>
              <wp:extent cx="466725" cy="329565"/>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5B54A44F" w14:textId="77777777" w:rsidR="00FB36C5" w:rsidRDefault="0042655A">
                          <w:pPr>
                            <w:spacing w:line="258" w:lineRule="auto"/>
                            <w:jc w:val="center"/>
                            <w:textDirection w:val="btLr"/>
                          </w:pPr>
                          <w:r>
                            <w:rPr>
                              <w:color w:val="FFFFFF"/>
                              <w:sz w:val="28"/>
                            </w:rPr>
                            <w:t>20</w:t>
                          </w:r>
                        </w:p>
                      </w:txbxContent>
                    </wps:txbx>
                    <wps:bodyPr spcFirstLastPara="1" wrap="square" lIns="91425" tIns="45700" rIns="91425" bIns="45700" anchor="b" anchorCtr="0">
                      <a:noAutofit/>
                    </wps:bodyPr>
                  </wps:wsp>
                </a:graphicData>
              </a:graphic>
            </wp:anchor>
          </w:drawing>
        </mc:Choice>
        <mc:Fallback>
          <w:pict>
            <v:rect w14:anchorId="6A1870FA" id="Rectangle 3" o:spid="_x0000_s1036" style="position:absolute;margin-left:467pt;margin-top:734pt;width:36.75pt;height:25.95pt;z-index:25165721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" fillcolor="black" stroked="f">
              <v:textbox inset="2.53958mm,1.2694mm,2.53958mm,1.2694mm">
                <w:txbxContent>
                  <w:p w14:paraId="5B54A44F" w14:textId="77777777" w:rsidR="00FB36C5" w:rsidRDefault="0042655A">
                    <w:pPr>
                      <w:spacing w:line="258" w:lineRule="auto"/>
                      <w:jc w:val="center"/>
                      <w:textDirection w:val="btLr"/>
                    </w:pPr>
                    <w:r>
                      <w:rPr>
                        <w:color w:val="FFFFFF"/>
                        <w:sz w:val="28"/>
                      </w:rPr>
                      <w:t>20</w:t>
                    </w:r>
                  </w:p>
                </w:txbxContent>
              </v:textbox>
              <w10:wrap type="square"/>
            </v:rect>
          </w:pict>
        </mc:Fallback>
      </mc:AlternateContent>
    </w:r>
    <w:r w:rsidR="0042655A">
      <w:rPr>
        <w:noProof/>
      </w:rPr>
      <mc:AlternateContent>
        <mc:Choice Requires="wpg">
          <w:drawing>
            <wp:anchor distT="0" distB="0" distL="0" distR="0" simplePos="0" relativeHeight="251659264" behindDoc="0" locked="0" layoutInCell="1" hidden="0" allowOverlap="1" wp14:anchorId="5F5200DB" wp14:editId="67F7A7F3">
              <wp:simplePos x="0" y="0"/>
              <wp:positionH relativeFrom="column">
                <wp:posOffset>0</wp:posOffset>
              </wp:positionH>
              <wp:positionV relativeFrom="paragraph">
                <wp:posOffset>9334500</wp:posOffset>
              </wp:positionV>
              <wp:extent cx="5943600" cy="320040"/>
              <wp:effectExtent l="0" t="0" r="0" b="0"/>
              <wp:wrapSquare wrapText="bothSides" distT="0" distB="0" distL="0" distR="0"/>
              <wp:docPr id="1" name="Group 1"/>
              <wp:cNvGraphicFramePr/>
              <a:graphic xmlns:a="http://schemas.openxmlformats.org/drawingml/2006/main">
                <a:graphicData uri="http://schemas.microsoft.com/office/word/2010/wordprocessingGroup">
                  <wpg:wgp>
                    <wpg:cNvGrpSpPr/>
                    <wpg:grpSpPr>
                      <a:xfrm>
                        <a:off x="0" y="0"/>
                        <a:ext cx="5943600" cy="320040"/>
                        <a:chOff x="2374200" y="3619975"/>
                        <a:chExt cx="5943600" cy="320050"/>
                      </a:xfrm>
                    </wpg:grpSpPr>
                    <wpg:grpSp>
                      <wpg:cNvPr id="282342967" name="Group 282342967"/>
                      <wpg:cNvGrpSpPr/>
                      <wpg:grpSpPr>
                        <a:xfrm>
                          <a:off x="2374200" y="3619980"/>
                          <a:ext cx="5943600" cy="320040"/>
                          <a:chOff x="0" y="0"/>
                          <a:chExt cx="5962650" cy="323851"/>
                        </a:xfrm>
                      </wpg:grpSpPr>
                      <wps:wsp>
                        <wps:cNvPr id="2012071606" name="Rectangle 2012071606"/>
                        <wps:cNvSpPr/>
                        <wps:spPr>
                          <a:xfrm>
                            <a:off x="0" y="0"/>
                            <a:ext cx="5962650" cy="323850"/>
                          </a:xfrm>
                          <a:prstGeom prst="rect">
                            <a:avLst/>
                          </a:prstGeom>
                          <a:noFill/>
                          <a:ln>
                            <a:noFill/>
                          </a:ln>
                        </wps:spPr>
                        <wps:txbx>
                          <w:txbxContent>
                            <w:p w14:paraId="2E34D79D" w14:textId="77777777" w:rsidR="00FB36C5" w:rsidRDefault="00FB36C5">
                              <w:pPr>
                                <w:spacing w:after="0" w:line="240" w:lineRule="auto"/>
                                <w:textDirection w:val="btLr"/>
                              </w:pPr>
                            </w:p>
                          </w:txbxContent>
                        </wps:txbx>
                        <wps:bodyPr spcFirstLastPara="1" wrap="square" lIns="91425" tIns="91425" rIns="91425" bIns="91425" anchor="ctr" anchorCtr="0">
                          <a:noAutofit/>
                        </wps:bodyPr>
                      </wps:wsp>
                      <wps:wsp>
                        <wps:cNvPr id="1118813209" name="Rectangle 1118813209"/>
                        <wps:cNvSpPr/>
                        <wps:spPr>
                          <a:xfrm>
                            <a:off x="19050" y="0"/>
                            <a:ext cx="5943600" cy="18826"/>
                          </a:xfrm>
                          <a:prstGeom prst="rect">
                            <a:avLst/>
                          </a:prstGeom>
                          <a:solidFill>
                            <a:srgbClr val="000000"/>
                          </a:solidFill>
                          <a:ln>
                            <a:noFill/>
                          </a:ln>
                        </wps:spPr>
                        <wps:txbx>
                          <w:txbxContent>
                            <w:p w14:paraId="0E64AE80" w14:textId="77777777" w:rsidR="00FB36C5" w:rsidRDefault="00FB36C5">
                              <w:pPr>
                                <w:spacing w:after="0" w:line="240" w:lineRule="auto"/>
                                <w:textDirection w:val="btLr"/>
                              </w:pPr>
                            </w:p>
                          </w:txbxContent>
                        </wps:txbx>
                        <wps:bodyPr spcFirstLastPara="1" wrap="square" lIns="91425" tIns="91425" rIns="91425" bIns="91425" anchor="ctr" anchorCtr="0">
                          <a:noAutofit/>
                        </wps:bodyPr>
                      </wps:wsp>
                      <wps:wsp>
                        <wps:cNvPr id="1604594843" name="Rectangle 1604594843"/>
                        <wps:cNvSpPr/>
                        <wps:spPr>
                          <a:xfrm>
                            <a:off x="0" y="66676"/>
                            <a:ext cx="5943600" cy="257175"/>
                          </a:xfrm>
                          <a:prstGeom prst="rect">
                            <a:avLst/>
                          </a:prstGeom>
                          <a:noFill/>
                          <a:ln>
                            <a:noFill/>
                          </a:ln>
                        </wps:spPr>
                        <wps:txbx>
                          <w:txbxContent>
                            <w:p w14:paraId="2841BA5E" w14:textId="77777777" w:rsidR="00FB36C5" w:rsidRDefault="0042655A">
                              <w:pPr>
                                <w:spacing w:line="258" w:lineRule="auto"/>
                                <w:jc w:val="right"/>
                                <w:textDirection w:val="btLr"/>
                              </w:pPr>
                              <w:r>
                                <w:rPr>
                                  <w:b/>
                                  <w:color w:val="000000"/>
                                  <w:sz w:val="24"/>
                                </w:rPr>
                                <w:t>Journal of Engineering, Social and Health - Vol 2 (10) October 2023</w:t>
                              </w:r>
                            </w:p>
                          </w:txbxContent>
                        </wps:txbx>
                        <wps:bodyPr spcFirstLastPara="1" wrap="square" lIns="91425" tIns="45700" rIns="91425" bIns="0" anchor="b" anchorCtr="0">
                          <a:noAutofit/>
                        </wps:bodyPr>
                      </wps:wsp>
                    </wpg:grpSp>
                  </wpg:wgp>
                </a:graphicData>
              </a:graphic>
            </wp:anchor>
          </w:drawing>
        </mc:Choice>
        <mc:Fallback>
          <w:pict>
            <v:group w14:anchorId="5F5200DB" id="Group 1" o:spid="_x0000_s1037" style="position:absolute;margin-left:0;margin-top:735pt;width:468pt;height:25.2pt;z-index:251659264;mso-wrap-distance-left:0;mso-wrap-distance-right:0" coordorigin="23742,36199" coordsize="5943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">
              <v:group id="Group 282342967" o:spid="_x0000_s1038" style="position:absolute;left:23742;top:36199;width:59436;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">
                <v:rect id="Rectangle 2012071606" o:spid="_x0000_s1039"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" filled="f" stroked="f">
                  <v:textbox inset="2.53958mm,2.53958mm,2.53958mm,2.53958mm">
                    <w:txbxContent>
                      <w:p w14:paraId="2E34D79D" w14:textId="77777777" w:rsidR="00FB36C5" w:rsidRDefault="00FB36C5">
                        <w:pPr>
                          <w:spacing w:after="0" w:line="240" w:lineRule="auto"/>
                          <w:textDirection w:val="btLr"/>
                        </w:pPr>
                      </w:p>
                    </w:txbxContent>
                  </v:textbox>
                </v:rect>
                <v:rect id="Rectangle 1118813209" o:spid="_x0000_s1040"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" fillcolor="black" stroked="f">
                  <v:textbox inset="2.53958mm,2.53958mm,2.53958mm,2.53958mm">
                    <w:txbxContent>
                      <w:p w14:paraId="0E64AE80" w14:textId="77777777" w:rsidR="00FB36C5" w:rsidRDefault="00FB36C5">
                        <w:pPr>
                          <w:spacing w:after="0" w:line="240" w:lineRule="auto"/>
                          <w:textDirection w:val="btLr"/>
                        </w:pPr>
                      </w:p>
                    </w:txbxContent>
                  </v:textbox>
                </v:rect>
                <v:rect id="Rectangle 1604594843" o:spid="_x0000_s1041"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" filled="f" stroked="f">
                  <v:textbox inset="2.53958mm,1.2694mm,2.53958mm,0">
                    <w:txbxContent>
                      <w:p w14:paraId="2841BA5E" w14:textId="77777777" w:rsidR="00FB36C5" w:rsidRDefault="0042655A">
                        <w:pPr>
                          <w:spacing w:line="258" w:lineRule="auto"/>
                          <w:jc w:val="right"/>
                          <w:textDirection w:val="btLr"/>
                        </w:pPr>
                        <w:r>
                          <w:rPr>
                            <w:b/>
                            <w:color w:val="000000"/>
                            <w:sz w:val="24"/>
                          </w:rPr>
                          <w:t>Journal of Engineering, Social and Health - Vol 2 (10) October 2023</w:t>
                        </w:r>
                      </w:p>
                    </w:txbxContent>
                  </v:textbox>
                </v:rect>
              </v:group>
              <w10:wrap type="square"/>
            </v:group>
          </w:pict>
        </mc:Fallback>
      </mc:AlternateContent>
    </w:r>
  </w:p>
  <w:p w14:paraId="42CECB00" w14:textId="77777777" w:rsidR="00FB36C5" w:rsidRDefault="00FB36C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86B37" w14:textId="77777777" w:rsidR="00FB36C5" w:rsidRDefault="0042655A">
    <w:pPr>
      <w:pBdr>
        <w:top w:val="nil"/>
        <w:left w:val="nil"/>
        <w:bottom w:val="nil"/>
        <w:right w:val="nil"/>
        <w:between w:val="nil"/>
      </w:pBdr>
      <w:tabs>
        <w:tab w:val="center" w:pos="4680"/>
        <w:tab w:val="right" w:pos="9360"/>
      </w:tabs>
      <w:spacing w:after="0" w:line="240" w:lineRule="auto"/>
      <w:jc w:val="right"/>
      <w:rPr>
        <w:b/>
        <w:color w:val="000000"/>
      </w:rPr>
    </w:pPr>
    <w:r>
      <w:rPr>
        <w:b/>
        <w:color w:val="000000"/>
      </w:rPr>
      <w:t>Journal of Engineering, Social and health</w:t>
    </w:r>
    <w:r>
      <w:rPr>
        <w:noProof/>
      </w:rPr>
      <mc:AlternateContent>
        <mc:Choice Requires="wps">
          <w:drawing>
            <wp:anchor distT="0" distB="0" distL="114300" distR="114300" simplePos="0" relativeHeight="251654144" behindDoc="0" locked="0" layoutInCell="1" hidden="0" allowOverlap="1" wp14:anchorId="22F2FFAD" wp14:editId="5F4766FD">
              <wp:simplePos x="0" y="0"/>
              <wp:positionH relativeFrom="column">
                <wp:posOffset>25401</wp:posOffset>
              </wp:positionH>
              <wp:positionV relativeFrom="paragraph">
                <wp:posOffset>12700</wp:posOffset>
              </wp:positionV>
              <wp:extent cx="262890" cy="306705"/>
              <wp:effectExtent l="0" t="0" r="0" b="0"/>
              <wp:wrapNone/>
              <wp:docPr id="2" name="Rectangle 2"/>
              <wp:cNvGraphicFramePr/>
              <a:graphic xmlns:a="http://schemas.openxmlformats.org/drawingml/2006/main">
                <a:graphicData uri="http://schemas.microsoft.com/office/word/2010/wordprocessingShape">
                  <wps:wsp>
                    <wps:cNvSpPr/>
                    <wps:spPr>
                      <a:xfrm>
                        <a:off x="5219318" y="3631410"/>
                        <a:ext cx="253365" cy="29718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27884BC" w14:textId="77777777" w:rsidR="00FB36C5" w:rsidRDefault="0042655A">
                          <w:pPr>
                            <w:spacing w:line="258" w:lineRule="auto"/>
                            <w:textDirection w:val="btLr"/>
                          </w:pPr>
                          <w:r>
                            <w:rPr>
                              <w:b/>
                              <w:color w:val="000000"/>
                            </w:rPr>
                            <w:t>1</w:t>
                          </w:r>
                        </w:p>
                      </w:txbxContent>
                    </wps:txbx>
                    <wps:bodyPr spcFirstLastPara="1" wrap="square" lIns="91425" tIns="45700" rIns="91425" bIns="45700" anchor="t" anchorCtr="0">
                      <a:noAutofit/>
                    </wps:bodyPr>
                  </wps:wsp>
                </a:graphicData>
              </a:graphic>
            </wp:anchor>
          </w:drawing>
        </mc:Choice>
        <mc:Fallback>
          <w:pict>
            <v:rect w14:anchorId="22F2FFAD" id="Rectangle 2" o:spid="_x0000_s1042" style="position:absolute;left:0;text-align:left;margin-left:2pt;margin-top:1pt;width:20.7pt;height:24.1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">
              <v:stroke startarrowwidth="narrow" startarrowlength="short" endarrowwidth="narrow" endarrowlength="short" joinstyle="round"/>
              <v:textbox inset="2.53958mm,1.2694mm,2.53958mm,1.2694mm">
                <w:txbxContent>
                  <w:p w14:paraId="627884BC" w14:textId="77777777" w:rsidR="00FB36C5" w:rsidRDefault="0042655A">
                    <w:pPr>
                      <w:spacing w:line="258" w:lineRule="auto"/>
                      <w:textDirection w:val="btLr"/>
                    </w:pPr>
                    <w:r>
                      <w:rPr>
                        <w:b/>
                        <w:color w:val="000000"/>
                      </w:rPr>
                      <w:t>1</w:t>
                    </w:r>
                  </w:p>
                </w:txbxContent>
              </v:textbox>
            </v:rect>
          </w:pict>
        </mc:Fallback>
      </mc:AlternateContent>
    </w:r>
  </w:p>
  <w:p w14:paraId="05B616AB" w14:textId="77777777" w:rsidR="00FB36C5" w:rsidRDefault="0042655A">
    <w:pPr>
      <w:pBdr>
        <w:top w:val="nil"/>
        <w:left w:val="nil"/>
        <w:bottom w:val="nil"/>
        <w:right w:val="nil"/>
        <w:between w:val="nil"/>
      </w:pBdr>
      <w:tabs>
        <w:tab w:val="center" w:pos="4680"/>
        <w:tab w:val="right" w:pos="9360"/>
      </w:tabs>
      <w:spacing w:after="0" w:line="240" w:lineRule="auto"/>
      <w:jc w:val="right"/>
      <w:rPr>
        <w:b/>
        <w:color w:val="000000"/>
      </w:rPr>
    </w:pPr>
    <w:r>
      <w:rPr>
        <w:b/>
        <w:color w:val="000000"/>
      </w:rPr>
      <w:t>Vol 1 No. 1 October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85F1" w14:textId="77777777" w:rsidR="00FB36C5" w:rsidRDefault="00FB36C5">
    <w:pPr>
      <w:widowControl w:val="0"/>
      <w:pBdr>
        <w:top w:val="nil"/>
        <w:left w:val="nil"/>
        <w:bottom w:val="nil"/>
        <w:right w:val="nil"/>
        <w:between w:val="nil"/>
      </w:pBdr>
      <w:spacing w:after="0" w:line="276" w:lineRule="auto"/>
      <w:rPr>
        <w:color w:val="000000"/>
      </w:rPr>
    </w:pPr>
  </w:p>
  <w:tbl>
    <w:tblPr>
      <w:tblStyle w:val="a3"/>
      <w:tblpPr w:leftFromText="187" w:rightFromText="187" w:vertAnchor="text" w:tblpY="1"/>
      <w:tblW w:w="9762" w:type="dxa"/>
      <w:tblLayout w:type="fixed"/>
      <w:tblLook w:val="0400" w:firstRow="0" w:lastRow="0" w:firstColumn="0" w:lastColumn="0" w:noHBand="0" w:noVBand="1"/>
    </w:tblPr>
    <w:tblGrid>
      <w:gridCol w:w="4111"/>
      <w:gridCol w:w="1134"/>
      <w:gridCol w:w="4517"/>
    </w:tblGrid>
    <w:tr w:rsidR="00FB36C5" w14:paraId="521DC4B9" w14:textId="77777777" w:rsidTr="00524DE3">
      <w:trPr>
        <w:trHeight w:val="151"/>
      </w:trPr>
      <w:tc>
        <w:tcPr>
          <w:tcW w:w="4111" w:type="dxa"/>
          <w:tcBorders>
            <w:bottom w:val="single" w:sz="18" w:space="0" w:color="4F81BD"/>
          </w:tcBorders>
        </w:tcPr>
        <w:p w14:paraId="4D57422C" w14:textId="77777777" w:rsidR="00FB36C5" w:rsidRDefault="00FB36C5">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134" w:type="dxa"/>
          <w:vMerge w:val="restart"/>
          <w:vAlign w:val="center"/>
        </w:tcPr>
        <w:p w14:paraId="279260BC" w14:textId="52CCF8F6" w:rsidR="00FB36C5" w:rsidRDefault="0042655A" w:rsidP="00524DE3">
          <w:pPr>
            <w:pBdr>
              <w:top w:val="nil"/>
              <w:left w:val="nil"/>
              <w:bottom w:val="nil"/>
              <w:right w:val="nil"/>
              <w:between w:val="nil"/>
            </w:pBdr>
            <w:spacing w:after="0" w:line="240" w:lineRule="auto"/>
            <w:ind w:right="-175" w:hanging="3"/>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0F2595">
            <w:rPr>
              <w:noProof/>
              <w:color w:val="000000"/>
            </w:rPr>
            <w:t>22</w:t>
          </w:r>
          <w:r>
            <w:rPr>
              <w:color w:val="000000"/>
            </w:rPr>
            <w:fldChar w:fldCharType="end"/>
          </w:r>
        </w:p>
      </w:tc>
      <w:tc>
        <w:tcPr>
          <w:tcW w:w="4517" w:type="dxa"/>
          <w:tcBorders>
            <w:bottom w:val="single" w:sz="18" w:space="0" w:color="4F81BD"/>
          </w:tcBorders>
        </w:tcPr>
        <w:p w14:paraId="3595E277" w14:textId="77777777" w:rsidR="00FB36C5" w:rsidRDefault="0042655A">
          <w:pPr>
            <w:pBdr>
              <w:top w:val="nil"/>
              <w:left w:val="nil"/>
              <w:bottom w:val="nil"/>
              <w:right w:val="nil"/>
              <w:between w:val="nil"/>
            </w:pBdr>
            <w:tabs>
              <w:tab w:val="center" w:pos="4680"/>
              <w:tab w:val="right" w:pos="9360"/>
            </w:tabs>
            <w:spacing w:after="0" w:line="240" w:lineRule="auto"/>
            <w:ind w:left="-205"/>
            <w:jc w:val="right"/>
            <w:rPr>
              <w:rFonts w:ascii="Cambria" w:eastAsia="Cambria" w:hAnsi="Cambria" w:cs="Cambria"/>
              <w:color w:val="000000"/>
            </w:rPr>
          </w:pPr>
          <w:r>
            <w:rPr>
              <w:rFonts w:ascii="Cambria" w:eastAsia="Cambria" w:hAnsi="Cambria" w:cs="Cambria"/>
              <w:color w:val="000000"/>
            </w:rPr>
            <w:t>Asian Journal of Engineering, Social and Health</w:t>
          </w:r>
        </w:p>
      </w:tc>
    </w:tr>
    <w:tr w:rsidR="00FB36C5" w14:paraId="015AE8FF" w14:textId="77777777" w:rsidTr="00524DE3">
      <w:trPr>
        <w:trHeight w:val="150"/>
      </w:trPr>
      <w:tc>
        <w:tcPr>
          <w:tcW w:w="4111" w:type="dxa"/>
          <w:tcBorders>
            <w:top w:val="single" w:sz="18" w:space="0" w:color="4F81BD"/>
          </w:tcBorders>
        </w:tcPr>
        <w:p w14:paraId="5B10D0B6" w14:textId="77777777" w:rsidR="00FB36C5" w:rsidRDefault="00FB36C5">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134" w:type="dxa"/>
          <w:vMerge/>
          <w:vAlign w:val="center"/>
        </w:tcPr>
        <w:p w14:paraId="2F23B859" w14:textId="77777777" w:rsidR="00FB36C5" w:rsidRDefault="00FB36C5">
          <w:pPr>
            <w:widowControl w:val="0"/>
            <w:pBdr>
              <w:top w:val="nil"/>
              <w:left w:val="nil"/>
              <w:bottom w:val="nil"/>
              <w:right w:val="nil"/>
              <w:between w:val="nil"/>
            </w:pBdr>
            <w:spacing w:after="0" w:line="276" w:lineRule="auto"/>
            <w:rPr>
              <w:rFonts w:ascii="Cambria" w:eastAsia="Cambria" w:hAnsi="Cambria" w:cs="Cambria"/>
              <w:b/>
              <w:color w:val="000000"/>
            </w:rPr>
          </w:pPr>
        </w:p>
      </w:tc>
      <w:tc>
        <w:tcPr>
          <w:tcW w:w="4517" w:type="dxa"/>
          <w:tcBorders>
            <w:top w:val="single" w:sz="18" w:space="0" w:color="4F81BD"/>
          </w:tcBorders>
        </w:tcPr>
        <w:p w14:paraId="08640D32" w14:textId="0F36F063" w:rsidR="00FB36C5" w:rsidRDefault="0042655A">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t>Volume 2, No. 1</w:t>
          </w:r>
          <w:r w:rsidR="00093B46">
            <w:rPr>
              <w:rFonts w:ascii="Cambria" w:eastAsia="Cambria" w:hAnsi="Cambria" w:cs="Cambria"/>
              <w:color w:val="000000"/>
            </w:rPr>
            <w:t>1</w:t>
          </w:r>
          <w:r>
            <w:rPr>
              <w:rFonts w:ascii="Cambria" w:eastAsia="Cambria" w:hAnsi="Cambria" w:cs="Cambria"/>
              <w:color w:val="000000"/>
            </w:rPr>
            <w:t xml:space="preserve"> </w:t>
          </w:r>
          <w:r w:rsidR="00093B46">
            <w:rPr>
              <w:rFonts w:ascii="Cambria" w:eastAsia="Cambria" w:hAnsi="Cambria" w:cs="Cambria"/>
              <w:color w:val="000000"/>
            </w:rPr>
            <w:t>November</w:t>
          </w:r>
          <w:r>
            <w:rPr>
              <w:rFonts w:ascii="Cambria" w:eastAsia="Cambria" w:hAnsi="Cambria" w:cs="Cambria"/>
              <w:color w:val="000000"/>
            </w:rPr>
            <w:t xml:space="preserve"> 2023</w:t>
          </w:r>
        </w:p>
      </w:tc>
    </w:tr>
  </w:tbl>
  <w:p w14:paraId="17A92A19" w14:textId="77777777" w:rsidR="00FB36C5" w:rsidRDefault="00FB36C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A113" w14:textId="77777777" w:rsidR="00524DE3" w:rsidRDefault="00524DE3" w:rsidP="00524DE3">
    <w:pPr>
      <w:widowControl w:val="0"/>
      <w:pBdr>
        <w:top w:val="nil"/>
        <w:left w:val="nil"/>
        <w:bottom w:val="nil"/>
        <w:right w:val="nil"/>
        <w:between w:val="nil"/>
      </w:pBdr>
      <w:spacing w:after="0" w:line="276" w:lineRule="auto"/>
      <w:rPr>
        <w:color w:val="000000"/>
      </w:rPr>
    </w:pPr>
  </w:p>
  <w:tbl>
    <w:tblPr>
      <w:tblStyle w:val="a3"/>
      <w:tblpPr w:leftFromText="187" w:rightFromText="187" w:vertAnchor="text" w:tblpY="1"/>
      <w:tblW w:w="9762" w:type="dxa"/>
      <w:tblLayout w:type="fixed"/>
      <w:tblLook w:val="0400" w:firstRow="0" w:lastRow="0" w:firstColumn="0" w:lastColumn="0" w:noHBand="0" w:noVBand="1"/>
    </w:tblPr>
    <w:tblGrid>
      <w:gridCol w:w="4111"/>
      <w:gridCol w:w="1134"/>
      <w:gridCol w:w="4517"/>
    </w:tblGrid>
    <w:tr w:rsidR="00524DE3" w14:paraId="6C451E32" w14:textId="77777777" w:rsidTr="0037509D">
      <w:trPr>
        <w:trHeight w:val="151"/>
      </w:trPr>
      <w:tc>
        <w:tcPr>
          <w:tcW w:w="4111" w:type="dxa"/>
          <w:tcBorders>
            <w:bottom w:val="single" w:sz="18" w:space="0" w:color="4F81BD"/>
          </w:tcBorders>
        </w:tcPr>
        <w:p w14:paraId="3608FBF8" w14:textId="77777777" w:rsidR="00524DE3" w:rsidRDefault="00524DE3" w:rsidP="00524DE3">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134" w:type="dxa"/>
          <w:vMerge w:val="restart"/>
          <w:vAlign w:val="center"/>
        </w:tcPr>
        <w:p w14:paraId="11B71710" w14:textId="77777777" w:rsidR="00524DE3" w:rsidRDefault="00524DE3" w:rsidP="00524DE3">
          <w:pPr>
            <w:pBdr>
              <w:top w:val="nil"/>
              <w:left w:val="nil"/>
              <w:bottom w:val="nil"/>
              <w:right w:val="nil"/>
              <w:between w:val="nil"/>
            </w:pBdr>
            <w:spacing w:after="0" w:line="240" w:lineRule="auto"/>
            <w:ind w:right="-175" w:hanging="3"/>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color w:val="000000"/>
            </w:rPr>
            <w:t>1336</w:t>
          </w:r>
          <w:r>
            <w:rPr>
              <w:color w:val="000000"/>
            </w:rPr>
            <w:fldChar w:fldCharType="end"/>
          </w:r>
        </w:p>
      </w:tc>
      <w:tc>
        <w:tcPr>
          <w:tcW w:w="4517" w:type="dxa"/>
          <w:tcBorders>
            <w:bottom w:val="single" w:sz="18" w:space="0" w:color="4F81BD"/>
          </w:tcBorders>
        </w:tcPr>
        <w:p w14:paraId="37FC7C9B" w14:textId="77777777" w:rsidR="00524DE3" w:rsidRDefault="00524DE3" w:rsidP="00524DE3">
          <w:pPr>
            <w:pBdr>
              <w:top w:val="nil"/>
              <w:left w:val="nil"/>
              <w:bottom w:val="nil"/>
              <w:right w:val="nil"/>
              <w:between w:val="nil"/>
            </w:pBdr>
            <w:tabs>
              <w:tab w:val="center" w:pos="4680"/>
              <w:tab w:val="right" w:pos="9360"/>
            </w:tabs>
            <w:spacing w:after="0" w:line="240" w:lineRule="auto"/>
            <w:ind w:left="-205"/>
            <w:jc w:val="right"/>
            <w:rPr>
              <w:rFonts w:ascii="Cambria" w:eastAsia="Cambria" w:hAnsi="Cambria" w:cs="Cambria"/>
              <w:color w:val="000000"/>
            </w:rPr>
          </w:pPr>
          <w:r>
            <w:rPr>
              <w:rFonts w:ascii="Cambria" w:eastAsia="Cambria" w:hAnsi="Cambria" w:cs="Cambria"/>
              <w:color w:val="000000"/>
            </w:rPr>
            <w:t>Asian Journal of Engineering, Social and Health</w:t>
          </w:r>
        </w:p>
      </w:tc>
    </w:tr>
    <w:tr w:rsidR="00524DE3" w14:paraId="501CF820" w14:textId="77777777" w:rsidTr="0037509D">
      <w:trPr>
        <w:trHeight w:val="150"/>
      </w:trPr>
      <w:tc>
        <w:tcPr>
          <w:tcW w:w="4111" w:type="dxa"/>
          <w:tcBorders>
            <w:top w:val="single" w:sz="18" w:space="0" w:color="4F81BD"/>
          </w:tcBorders>
        </w:tcPr>
        <w:p w14:paraId="32A466D7" w14:textId="77777777" w:rsidR="00524DE3" w:rsidRDefault="00524DE3" w:rsidP="00524DE3">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p>
      </w:tc>
      <w:tc>
        <w:tcPr>
          <w:tcW w:w="1134" w:type="dxa"/>
          <w:vMerge/>
          <w:vAlign w:val="center"/>
        </w:tcPr>
        <w:p w14:paraId="680A178D" w14:textId="77777777" w:rsidR="00524DE3" w:rsidRDefault="00524DE3" w:rsidP="00524DE3">
          <w:pPr>
            <w:widowControl w:val="0"/>
            <w:pBdr>
              <w:top w:val="nil"/>
              <w:left w:val="nil"/>
              <w:bottom w:val="nil"/>
              <w:right w:val="nil"/>
              <w:between w:val="nil"/>
            </w:pBdr>
            <w:spacing w:after="0" w:line="276" w:lineRule="auto"/>
            <w:rPr>
              <w:rFonts w:ascii="Cambria" w:eastAsia="Cambria" w:hAnsi="Cambria" w:cs="Cambria"/>
              <w:b/>
              <w:color w:val="000000"/>
            </w:rPr>
          </w:pPr>
        </w:p>
      </w:tc>
      <w:tc>
        <w:tcPr>
          <w:tcW w:w="4517" w:type="dxa"/>
          <w:tcBorders>
            <w:top w:val="single" w:sz="18" w:space="0" w:color="4F81BD"/>
          </w:tcBorders>
        </w:tcPr>
        <w:p w14:paraId="66366712" w14:textId="77777777" w:rsidR="00524DE3" w:rsidRDefault="00524DE3" w:rsidP="00524DE3">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t>Volume 2, No. 11 November 2023</w:t>
          </w:r>
        </w:p>
      </w:tc>
    </w:tr>
  </w:tbl>
  <w:p w14:paraId="3036137D" w14:textId="77777777" w:rsidR="00FB36C5" w:rsidRPr="00524DE3" w:rsidRDefault="00FB36C5" w:rsidP="00524D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8683" w14:textId="77777777" w:rsidR="00FB36C5" w:rsidRDefault="0042655A">
    <w:pPr>
      <w:pBdr>
        <w:top w:val="nil"/>
        <w:left w:val="nil"/>
        <w:bottom w:val="nil"/>
        <w:right w:val="nil"/>
        <w:between w:val="nil"/>
      </w:pBdr>
      <w:tabs>
        <w:tab w:val="center" w:pos="4680"/>
        <w:tab w:val="right" w:pos="9360"/>
      </w:tabs>
      <w:spacing w:after="0" w:line="240" w:lineRule="auto"/>
      <w:jc w:val="right"/>
      <w:rPr>
        <w:b/>
        <w:color w:val="000000"/>
      </w:rPr>
    </w:pPr>
    <w:r>
      <w:rPr>
        <w:b/>
        <w:color w:val="000000"/>
      </w:rPr>
      <w:t>Journal of Engineering, Social and health</w:t>
    </w:r>
    <w:r>
      <w:rPr>
        <w:noProof/>
      </w:rPr>
      <mc:AlternateContent>
        <mc:Choice Requires="wps">
          <w:drawing>
            <wp:anchor distT="0" distB="0" distL="114300" distR="114300" simplePos="0" relativeHeight="251663360" behindDoc="0" locked="0" layoutInCell="1" hidden="0" allowOverlap="1" wp14:anchorId="5146DB44" wp14:editId="26569400">
              <wp:simplePos x="0" y="0"/>
              <wp:positionH relativeFrom="column">
                <wp:posOffset>25401</wp:posOffset>
              </wp:positionH>
              <wp:positionV relativeFrom="paragraph">
                <wp:posOffset>12700</wp:posOffset>
              </wp:positionV>
              <wp:extent cx="262890" cy="306705"/>
              <wp:effectExtent l="0" t="0" r="0" b="0"/>
              <wp:wrapNone/>
              <wp:docPr id="4" name="Rectangle 4"/>
              <wp:cNvGraphicFramePr/>
              <a:graphic xmlns:a="http://schemas.openxmlformats.org/drawingml/2006/main">
                <a:graphicData uri="http://schemas.microsoft.com/office/word/2010/wordprocessingShape">
                  <wps:wsp>
                    <wps:cNvSpPr/>
                    <wps:spPr>
                      <a:xfrm>
                        <a:off x="5219318" y="3631410"/>
                        <a:ext cx="253365" cy="29718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A65A3F6" w14:textId="77777777" w:rsidR="00FB36C5" w:rsidRDefault="0042655A">
                          <w:pPr>
                            <w:spacing w:line="258" w:lineRule="auto"/>
                            <w:textDirection w:val="btLr"/>
                          </w:pPr>
                          <w:r>
                            <w:rPr>
                              <w:b/>
                              <w:color w:val="000000"/>
                            </w:rPr>
                            <w:t>1</w:t>
                          </w:r>
                        </w:p>
                      </w:txbxContent>
                    </wps:txbx>
                    <wps:bodyPr spcFirstLastPara="1" wrap="square" lIns="91425" tIns="45700" rIns="91425" bIns="45700" anchor="t" anchorCtr="0">
                      <a:noAutofit/>
                    </wps:bodyPr>
                  </wps:wsp>
                </a:graphicData>
              </a:graphic>
            </wp:anchor>
          </w:drawing>
        </mc:Choice>
        <mc:Fallback>
          <w:pict>
            <v:rect w14:anchorId="5146DB44" id="Rectangle 4" o:spid="_x0000_s1043" style="position:absolute;left:0;text-align:left;margin-left:2pt;margin-top:1pt;width:20.7pt;height:24.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">
              <v:stroke startarrowwidth="narrow" startarrowlength="short" endarrowwidth="narrow" endarrowlength="short" joinstyle="round"/>
              <v:textbox inset="2.53958mm,1.2694mm,2.53958mm,1.2694mm">
                <w:txbxContent>
                  <w:p w14:paraId="5A65A3F6" w14:textId="77777777" w:rsidR="00FB36C5" w:rsidRDefault="0042655A">
                    <w:pPr>
                      <w:spacing w:line="258" w:lineRule="auto"/>
                      <w:textDirection w:val="btLr"/>
                    </w:pPr>
                    <w:r>
                      <w:rPr>
                        <w:b/>
                        <w:color w:val="000000"/>
                      </w:rPr>
                      <w:t>1</w:t>
                    </w:r>
                  </w:p>
                </w:txbxContent>
              </v:textbox>
            </v:rect>
          </w:pict>
        </mc:Fallback>
      </mc:AlternateContent>
    </w:r>
  </w:p>
  <w:p w14:paraId="510F19FE" w14:textId="77777777" w:rsidR="00FB36C5" w:rsidRDefault="0042655A">
    <w:pPr>
      <w:pBdr>
        <w:top w:val="nil"/>
        <w:left w:val="nil"/>
        <w:bottom w:val="nil"/>
        <w:right w:val="nil"/>
        <w:between w:val="nil"/>
      </w:pBdr>
      <w:tabs>
        <w:tab w:val="center" w:pos="4680"/>
        <w:tab w:val="right" w:pos="9360"/>
      </w:tabs>
      <w:spacing w:after="0" w:line="240" w:lineRule="auto"/>
      <w:jc w:val="right"/>
      <w:rPr>
        <w:b/>
        <w:color w:val="000000"/>
      </w:rPr>
    </w:pPr>
    <w:r>
      <w:rPr>
        <w:b/>
        <w:color w:val="000000"/>
      </w:rPr>
      <w:t>Vol 1 No. 1 October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12A6E" w14:textId="77777777" w:rsidR="00572426" w:rsidRDefault="00572426">
      <w:pPr>
        <w:spacing w:after="0" w:line="240" w:lineRule="auto"/>
      </w:pPr>
      <w:r>
        <w:separator/>
      </w:r>
    </w:p>
  </w:footnote>
  <w:footnote w:type="continuationSeparator" w:id="0">
    <w:p w14:paraId="2D15F61B" w14:textId="77777777" w:rsidR="00572426" w:rsidRDefault="00572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8575" w14:textId="77777777" w:rsidR="00FB36C5" w:rsidRDefault="0042655A">
    <w:pPr>
      <w:pBdr>
        <w:top w:val="nil"/>
        <w:left w:val="nil"/>
        <w:bottom w:val="nil"/>
        <w:right w:val="nil"/>
        <w:between w:val="nil"/>
      </w:pBdr>
      <w:spacing w:before="560" w:after="200" w:line="276" w:lineRule="auto"/>
      <w:jc w:val="right"/>
      <w:rPr>
        <w:color w:val="000000"/>
        <w:sz w:val="24"/>
        <w:szCs w:val="24"/>
      </w:rPr>
    </w:pPr>
    <w:r>
      <w:rPr>
        <w:color w:val="000000"/>
        <w:sz w:val="24"/>
        <w:szCs w:val="24"/>
      </w:rPr>
      <w:t>Study of Environmental Impact Improvement for Shrimp Feed Production Companies</w:t>
    </w:r>
  </w:p>
  <w:p w14:paraId="66D097B1" w14:textId="77777777" w:rsidR="00FB36C5" w:rsidRDefault="00FB36C5">
    <w:pPr>
      <w:pBdr>
        <w:top w:val="nil"/>
        <w:left w:val="nil"/>
        <w:bottom w:val="nil"/>
        <w:right w:val="nil"/>
        <w:between w:val="nil"/>
      </w:pBdr>
      <w:tabs>
        <w:tab w:val="center" w:pos="4680"/>
        <w:tab w:val="right" w:pos="9360"/>
      </w:tabs>
      <w:spacing w:after="0" w:line="240" w:lineRule="auto"/>
      <w:jc w:val="right"/>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B350" w14:textId="77777777" w:rsidR="00FB36C5" w:rsidRDefault="00FB36C5">
    <w:pPr>
      <w:pBdr>
        <w:top w:val="nil"/>
        <w:left w:val="nil"/>
        <w:bottom w:val="nil"/>
        <w:right w:val="nil"/>
        <w:between w:val="nil"/>
      </w:pBdr>
      <w:tabs>
        <w:tab w:val="center" w:pos="4680"/>
        <w:tab w:val="right" w:pos="9360"/>
      </w:tabs>
      <w:spacing w:after="0" w:line="240" w:lineRule="auto"/>
      <w:rPr>
        <w:color w:val="000000"/>
        <w:sz w:val="24"/>
        <w:szCs w:val="24"/>
        <w:vertAlign w:val="superscript"/>
      </w:rPr>
    </w:pPr>
  </w:p>
  <w:p w14:paraId="14E5E180" w14:textId="77777777" w:rsidR="00FB36C5" w:rsidRDefault="00FB36C5">
    <w:pPr>
      <w:pBdr>
        <w:top w:val="nil"/>
        <w:left w:val="nil"/>
        <w:bottom w:val="nil"/>
        <w:right w:val="nil"/>
        <w:between w:val="nil"/>
      </w:pBdr>
      <w:tabs>
        <w:tab w:val="center" w:pos="4680"/>
        <w:tab w:val="right" w:pos="9360"/>
      </w:tabs>
      <w:spacing w:after="0" w:line="240" w:lineRule="auto"/>
      <w:rPr>
        <w:color w:val="000000"/>
        <w:sz w:val="24"/>
        <w:szCs w:val="24"/>
        <w:vertAlign w:val="superscript"/>
      </w:rPr>
    </w:pPr>
  </w:p>
  <w:p w14:paraId="5208B262" w14:textId="77777777" w:rsidR="00FB36C5" w:rsidRDefault="0042655A">
    <w:pPr>
      <w:pBdr>
        <w:top w:val="nil"/>
        <w:left w:val="nil"/>
        <w:bottom w:val="nil"/>
        <w:right w:val="nil"/>
        <w:between w:val="nil"/>
      </w:pBdr>
      <w:tabs>
        <w:tab w:val="center" w:pos="4680"/>
        <w:tab w:val="right" w:pos="9360"/>
      </w:tabs>
      <w:spacing w:after="0" w:line="240" w:lineRule="auto"/>
      <w:rPr>
        <w:color w:val="000000"/>
      </w:rPr>
    </w:pPr>
    <w:r>
      <w:rPr>
        <w:color w:val="000000"/>
        <w:sz w:val="24"/>
        <w:szCs w:val="24"/>
      </w:rPr>
      <w:t xml:space="preserve">Rosita Cahya </w:t>
    </w:r>
    <w:proofErr w:type="spellStart"/>
    <w:r>
      <w:rPr>
        <w:color w:val="000000"/>
        <w:sz w:val="24"/>
        <w:szCs w:val="24"/>
      </w:rPr>
      <w:t>Febriani</w:t>
    </w:r>
    <w:proofErr w:type="spellEnd"/>
    <w:r>
      <w:rPr>
        <w:color w:val="000000"/>
        <w:sz w:val="24"/>
        <w:szCs w:val="24"/>
      </w:rPr>
      <w:t xml:space="preserve">, </w:t>
    </w:r>
    <w:proofErr w:type="spellStart"/>
    <w:r>
      <w:rPr>
        <w:color w:val="000000"/>
        <w:sz w:val="24"/>
        <w:szCs w:val="24"/>
      </w:rPr>
      <w:t>Irwan</w:t>
    </w:r>
    <w:proofErr w:type="spellEnd"/>
    <w:r>
      <w:rPr>
        <w:color w:val="000000"/>
        <w:sz w:val="24"/>
        <w:szCs w:val="24"/>
      </w:rPr>
      <w:t xml:space="preserve"> </w:t>
    </w:r>
    <w:proofErr w:type="spellStart"/>
    <w:r>
      <w:rPr>
        <w:color w:val="000000"/>
        <w:sz w:val="24"/>
        <w:szCs w:val="24"/>
      </w:rPr>
      <w:t>Bagyo</w:t>
    </w:r>
    <w:proofErr w:type="spellEnd"/>
    <w:r>
      <w:rPr>
        <w:color w:val="000000"/>
        <w:sz w:val="24"/>
        <w:szCs w:val="24"/>
      </w:rPr>
      <w:t xml:space="preserve"> Santoso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22BF" w14:textId="564B6479" w:rsidR="00093B46" w:rsidRPr="00093B46" w:rsidRDefault="00093B46" w:rsidP="00093B46">
    <w:pPr>
      <w:spacing w:after="0" w:line="276" w:lineRule="auto"/>
      <w:ind w:left="1" w:hanging="3"/>
      <w:jc w:val="right"/>
      <w:rPr>
        <w:rFonts w:asciiTheme="majorHAnsi" w:hAnsiTheme="majorHAnsi" w:cstheme="majorHAnsi"/>
        <w:bCs/>
        <w:sz w:val="20"/>
        <w:szCs w:val="20"/>
      </w:rPr>
    </w:pPr>
    <w:r w:rsidRPr="00093B46">
      <w:rPr>
        <w:rFonts w:asciiTheme="majorHAnsi" w:hAnsiTheme="majorHAnsi" w:cstheme="majorHAnsi"/>
        <w:bCs/>
        <w:sz w:val="24"/>
        <w:szCs w:val="24"/>
      </w:rPr>
      <w:t xml:space="preserve">Distribution Pattern </w:t>
    </w:r>
    <w:r>
      <w:rPr>
        <w:rFonts w:asciiTheme="majorHAnsi" w:hAnsiTheme="majorHAnsi" w:cstheme="majorHAnsi"/>
        <w:bCs/>
        <w:sz w:val="24"/>
        <w:szCs w:val="24"/>
      </w:rPr>
      <w:t>a</w:t>
    </w:r>
    <w:r w:rsidRPr="00093B46">
      <w:rPr>
        <w:rFonts w:asciiTheme="majorHAnsi" w:hAnsiTheme="majorHAnsi" w:cstheme="majorHAnsi"/>
        <w:bCs/>
        <w:sz w:val="24"/>
        <w:szCs w:val="24"/>
      </w:rPr>
      <w:t xml:space="preserve">nd Density Figure </w:t>
    </w:r>
    <w:r>
      <w:rPr>
        <w:rFonts w:asciiTheme="majorHAnsi" w:hAnsiTheme="majorHAnsi" w:cstheme="majorHAnsi"/>
        <w:bCs/>
        <w:sz w:val="24"/>
        <w:szCs w:val="24"/>
      </w:rPr>
      <w:t>o</w:t>
    </w:r>
    <w:r w:rsidRPr="00093B46">
      <w:rPr>
        <w:rFonts w:asciiTheme="majorHAnsi" w:hAnsiTheme="majorHAnsi" w:cstheme="majorHAnsi"/>
        <w:bCs/>
        <w:sz w:val="24"/>
        <w:szCs w:val="24"/>
      </w:rPr>
      <w:t>n The Incident Of D</w:t>
    </w:r>
    <w:r>
      <w:rPr>
        <w:rFonts w:asciiTheme="majorHAnsi" w:hAnsiTheme="majorHAnsi" w:cstheme="majorHAnsi"/>
        <w:bCs/>
        <w:sz w:val="24"/>
        <w:szCs w:val="24"/>
      </w:rPr>
      <w:t>HF</w:t>
    </w:r>
  </w:p>
  <w:p w14:paraId="5C5643E0" w14:textId="77777777" w:rsidR="00FB36C5" w:rsidRPr="00093B46" w:rsidRDefault="00FB36C5" w:rsidP="00093B46">
    <w:pPr>
      <w:pStyle w:val="Header"/>
      <w:jc w:val="right"/>
      <w:rPr>
        <w:bCs/>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06D4" w14:textId="70AA7348" w:rsidR="00093B46" w:rsidRPr="00093B46" w:rsidRDefault="00093B46" w:rsidP="00093B46">
    <w:pPr>
      <w:pStyle w:val="Heading4"/>
      <w:shd w:val="clear" w:color="auto" w:fill="FFFFFF"/>
      <w:spacing w:before="0" w:line="276" w:lineRule="auto"/>
      <w:ind w:hanging="2"/>
      <w:rPr>
        <w:rFonts w:asciiTheme="majorHAnsi" w:hAnsiTheme="majorHAnsi" w:cstheme="majorHAnsi"/>
        <w:bCs/>
        <w:i w:val="0"/>
        <w:color w:val="000000"/>
        <w:sz w:val="24"/>
        <w:szCs w:val="24"/>
      </w:rPr>
    </w:pPr>
    <w:r w:rsidRPr="00093B46">
      <w:rPr>
        <w:rFonts w:asciiTheme="majorHAnsi" w:hAnsiTheme="majorHAnsi" w:cstheme="majorHAnsi"/>
        <w:bCs/>
        <w:i w:val="0"/>
        <w:color w:val="000000"/>
        <w:sz w:val="24"/>
        <w:szCs w:val="24"/>
        <w:vertAlign w:val="superscript"/>
      </w:rPr>
      <w:t xml:space="preserve"> </w:t>
    </w:r>
    <w:proofErr w:type="spellStart"/>
    <w:r w:rsidRPr="00093B46">
      <w:rPr>
        <w:rFonts w:asciiTheme="majorHAnsi" w:hAnsiTheme="majorHAnsi" w:cstheme="majorHAnsi"/>
        <w:bCs/>
        <w:i w:val="0"/>
        <w:color w:val="000000"/>
        <w:sz w:val="24"/>
        <w:szCs w:val="24"/>
      </w:rPr>
      <w:t>Helfi</w:t>
    </w:r>
    <w:proofErr w:type="spellEnd"/>
    <w:r w:rsidRPr="00093B46">
      <w:rPr>
        <w:rFonts w:asciiTheme="majorHAnsi" w:hAnsiTheme="majorHAnsi" w:cstheme="majorHAnsi"/>
        <w:bCs/>
        <w:i w:val="0"/>
        <w:color w:val="000000"/>
        <w:sz w:val="24"/>
        <w:szCs w:val="24"/>
      </w:rPr>
      <w:t xml:space="preserve"> Nolia, </w:t>
    </w:r>
    <w:proofErr w:type="spellStart"/>
    <w:r w:rsidRPr="00093B46">
      <w:rPr>
        <w:rFonts w:asciiTheme="majorHAnsi" w:hAnsiTheme="majorHAnsi" w:cstheme="majorHAnsi"/>
        <w:bCs/>
        <w:i w:val="0"/>
        <w:color w:val="000000"/>
        <w:sz w:val="24"/>
        <w:szCs w:val="24"/>
      </w:rPr>
      <w:t>Risnawati</w:t>
    </w:r>
    <w:proofErr w:type="spellEnd"/>
    <w:r w:rsidRPr="00093B46">
      <w:rPr>
        <w:rFonts w:asciiTheme="majorHAnsi" w:hAnsiTheme="majorHAnsi" w:cstheme="majorHAnsi"/>
        <w:bCs/>
        <w:i w:val="0"/>
        <w:color w:val="000000"/>
        <w:sz w:val="24"/>
        <w:szCs w:val="24"/>
      </w:rPr>
      <w:t xml:space="preserve"> Tanjung,</w:t>
    </w:r>
    <w:r w:rsidRPr="00093B46">
      <w:rPr>
        <w:rFonts w:asciiTheme="majorHAnsi" w:hAnsiTheme="majorHAnsi" w:cstheme="majorHAnsi"/>
        <w:bCs/>
        <w:i w:val="0"/>
        <w:color w:val="000000"/>
        <w:sz w:val="24"/>
        <w:szCs w:val="24"/>
        <w:vertAlign w:val="superscript"/>
      </w:rPr>
      <w:t xml:space="preserve"> </w:t>
    </w:r>
    <w:proofErr w:type="spellStart"/>
    <w:r w:rsidRPr="00093B46">
      <w:rPr>
        <w:rFonts w:asciiTheme="majorHAnsi" w:hAnsiTheme="majorHAnsi" w:cstheme="majorHAnsi"/>
        <w:bCs/>
        <w:i w:val="0"/>
        <w:color w:val="000000"/>
        <w:sz w:val="24"/>
        <w:szCs w:val="24"/>
      </w:rPr>
      <w:t>Jernita</w:t>
    </w:r>
    <w:proofErr w:type="spellEnd"/>
    <w:r w:rsidRPr="00093B46">
      <w:rPr>
        <w:rFonts w:asciiTheme="majorHAnsi" w:hAnsiTheme="majorHAnsi" w:cstheme="majorHAnsi"/>
        <w:bCs/>
        <w:i w:val="0"/>
        <w:color w:val="000000"/>
        <w:sz w:val="24"/>
        <w:szCs w:val="24"/>
      </w:rPr>
      <w:t xml:space="preserve"> Sinaga</w:t>
    </w:r>
  </w:p>
  <w:p w14:paraId="69F62E49" w14:textId="77777777" w:rsidR="00FB36C5" w:rsidRPr="00093B46" w:rsidRDefault="00FB36C5" w:rsidP="00093B46">
    <w:pPr>
      <w:pStyle w:val="Header"/>
      <w:rPr>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6C5"/>
    <w:rsid w:val="00093B46"/>
    <w:rsid w:val="000F2595"/>
    <w:rsid w:val="001B287B"/>
    <w:rsid w:val="001D6E29"/>
    <w:rsid w:val="00277AC5"/>
    <w:rsid w:val="00375723"/>
    <w:rsid w:val="0039456F"/>
    <w:rsid w:val="00405ECB"/>
    <w:rsid w:val="0042655A"/>
    <w:rsid w:val="00453734"/>
    <w:rsid w:val="00457615"/>
    <w:rsid w:val="004829B2"/>
    <w:rsid w:val="00524DE3"/>
    <w:rsid w:val="005340F7"/>
    <w:rsid w:val="00545314"/>
    <w:rsid w:val="00572426"/>
    <w:rsid w:val="0058270F"/>
    <w:rsid w:val="005A65EB"/>
    <w:rsid w:val="005F44D7"/>
    <w:rsid w:val="006100CF"/>
    <w:rsid w:val="00623B47"/>
    <w:rsid w:val="006B0E12"/>
    <w:rsid w:val="006E360C"/>
    <w:rsid w:val="006F29A8"/>
    <w:rsid w:val="00714C3A"/>
    <w:rsid w:val="00756D2C"/>
    <w:rsid w:val="00776027"/>
    <w:rsid w:val="007D7D4A"/>
    <w:rsid w:val="00837025"/>
    <w:rsid w:val="00840D77"/>
    <w:rsid w:val="008A1345"/>
    <w:rsid w:val="009D7813"/>
    <w:rsid w:val="00A50F26"/>
    <w:rsid w:val="00A812CB"/>
    <w:rsid w:val="00AC46ED"/>
    <w:rsid w:val="00AD11DF"/>
    <w:rsid w:val="00AE1079"/>
    <w:rsid w:val="00AE4EA0"/>
    <w:rsid w:val="00B03DFF"/>
    <w:rsid w:val="00BB58F3"/>
    <w:rsid w:val="00C62832"/>
    <w:rsid w:val="00D15347"/>
    <w:rsid w:val="00DB2D39"/>
    <w:rsid w:val="00E10074"/>
    <w:rsid w:val="00F13582"/>
    <w:rsid w:val="00FB36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7CB8DE"/>
  <w15:docId w15:val="{880345C4-E618-4FBA-B973-4D6BAAC3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tabs>
        <w:tab w:val="left" w:pos="142"/>
        <w:tab w:val="left" w:pos="426"/>
        <w:tab w:val="left" w:pos="567"/>
      </w:tabs>
      <w:spacing w:line="360" w:lineRule="auto"/>
      <w:jc w:val="both"/>
      <w:outlineLvl w:val="1"/>
    </w:pPr>
    <w:rPr>
      <w:rFonts w:ascii="Times New Roman" w:eastAsia="Times New Roman" w:hAnsi="Times New Roman" w:cs="Times New Roman"/>
      <w:b/>
      <w:sz w:val="24"/>
      <w:szCs w:val="24"/>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093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B46"/>
  </w:style>
  <w:style w:type="paragraph" w:styleId="Header">
    <w:name w:val="header"/>
    <w:basedOn w:val="Normal"/>
    <w:link w:val="HeaderChar"/>
    <w:uiPriority w:val="99"/>
    <w:unhideWhenUsed/>
    <w:rsid w:val="00093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B46"/>
  </w:style>
  <w:style w:type="paragraph" w:styleId="NormalWeb">
    <w:name w:val="Normal (Web)"/>
    <w:basedOn w:val="Normal"/>
    <w:uiPriority w:val="99"/>
    <w:unhideWhenUsed/>
    <w:rsid w:val="004829B2"/>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4829B2"/>
    <w:rPr>
      <w:i/>
      <w:iCs/>
    </w:rPr>
  </w:style>
  <w:style w:type="character" w:styleId="Strong">
    <w:name w:val="Strong"/>
    <w:basedOn w:val="DefaultParagraphFont"/>
    <w:uiPriority w:val="22"/>
    <w:qFormat/>
    <w:rsid w:val="005453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3183">
      <w:bodyDiv w:val="1"/>
      <w:marLeft w:val="0"/>
      <w:marRight w:val="0"/>
      <w:marTop w:val="0"/>
      <w:marBottom w:val="0"/>
      <w:divBdr>
        <w:top w:val="none" w:sz="0" w:space="0" w:color="auto"/>
        <w:left w:val="none" w:sz="0" w:space="0" w:color="auto"/>
        <w:bottom w:val="none" w:sz="0" w:space="0" w:color="auto"/>
        <w:right w:val="none" w:sz="0" w:space="0" w:color="auto"/>
      </w:divBdr>
    </w:div>
    <w:div w:id="1820876994">
      <w:bodyDiv w:val="1"/>
      <w:marLeft w:val="0"/>
      <w:marRight w:val="0"/>
      <w:marTop w:val="0"/>
      <w:marBottom w:val="0"/>
      <w:divBdr>
        <w:top w:val="none" w:sz="0" w:space="0" w:color="auto"/>
        <w:left w:val="none" w:sz="0" w:space="0" w:color="auto"/>
        <w:bottom w:val="none" w:sz="0" w:space="0" w:color="auto"/>
        <w:right w:val="none" w:sz="0" w:space="0" w:color="auto"/>
      </w:divBdr>
    </w:div>
    <w:div w:id="1982729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7.jpg"/><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jurnal.unismuhpalu.ac.id/index.php/PJKM/article/view/1371" TargetMode="External"/><Relationship Id="rId10" Type="http://schemas.openxmlformats.org/officeDocument/2006/relationships/header" Target="header1.xml"/><Relationship Id="rId19"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mailto:helfinolia@gmail.com" TargetMode="External"/><Relationship Id="rId14" Type="http://schemas.openxmlformats.org/officeDocument/2006/relationships/header" Target="header3.xml"/><Relationship Id="rId22"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FBD1-B0FA-4FA4-8C89-7AE8309D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5518</Words>
  <Characters>31455</Characters>
  <Application>Microsoft Office Word</Application>
  <DocSecurity>0</DocSecurity>
  <Lines>262</Lines>
  <Paragraphs>73</Paragraphs>
  <ScaleCrop>false</ScaleCrop>
  <Company/>
  <LinksUpToDate>false</LinksUpToDate>
  <CharactersWithSpaces>36900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Anisa Ayu Dwi Lestari</cp:lastModifiedBy>
  <cp:revision>2</cp:revision>
  <dcterms:created xsi:type="dcterms:W3CDTF">2023-11-13T04:38:00Z</dcterms:created>
  <dcterms:modified xsi:type="dcterms:W3CDTF">2023-11-13T04:38:00Z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07f7d6c8-b5a6-3d6b-b5f5-d5c991519dc5</vt:lpwstr>
  </property>
  <property fmtid="{D5CDD505-2E9C-101B-9397-08002B2CF9AE}" pid="24" name="Mendeley Citation Style_1">
    <vt:lpwstr>http://www.zotero.org/styles/apa</vt:lpwstr>
  </property>
</Properties>
</file>